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4C7382" w14:paraId="0C4F6674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C09265A" w14:textId="77777777" w:rsidR="00706BC0" w:rsidRPr="004C7382" w:rsidRDefault="00935675" w:rsidP="00F26DE8">
            <w:pPr>
              <w:pStyle w:val="EPName"/>
              <w:rPr>
                <w:lang w:val="en-GB"/>
              </w:rPr>
            </w:pPr>
            <w:r w:rsidRPr="004C7382">
              <w:rPr>
                <w:lang w:val="en-GB"/>
              </w:rPr>
              <w:t>European Parliament</w:t>
            </w:r>
          </w:p>
          <w:p w14:paraId="061141E9" w14:textId="77777777" w:rsidR="00706BC0" w:rsidRPr="004C7382" w:rsidRDefault="008A61FA" w:rsidP="008A61FA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 w:rsidRPr="004C7382">
              <w:rPr>
                <w:lang w:val="en-GB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14:paraId="5F1A3AD2" w14:textId="505633F8" w:rsidR="00706BC0" w:rsidRPr="004C7382" w:rsidRDefault="002531D6" w:rsidP="00F26DE8">
            <w:pPr>
              <w:pStyle w:val="EPLogo"/>
            </w:pPr>
            <w:r w:rsidRPr="004C7382">
              <w:rPr>
                <w:noProof/>
              </w:rPr>
              <w:drawing>
                <wp:inline distT="0" distB="0" distL="0" distR="0" wp14:anchorId="52147ED7" wp14:editId="581FA051">
                  <wp:extent cx="1171575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A33A6" w14:textId="77777777" w:rsidR="00E53167" w:rsidRPr="004C7382" w:rsidRDefault="00E53167" w:rsidP="00E53167">
      <w:pPr>
        <w:pStyle w:val="LineTop"/>
        <w:rPr>
          <w:lang w:val="en-GB"/>
        </w:rPr>
      </w:pPr>
    </w:p>
    <w:p w14:paraId="513C5A65" w14:textId="77777777" w:rsidR="00E53167" w:rsidRPr="004C7382" w:rsidRDefault="008A61FA" w:rsidP="00E53167">
      <w:pPr>
        <w:pStyle w:val="ZSessionDoc"/>
      </w:pPr>
      <w:r w:rsidRPr="004C7382">
        <w:t>Plenary sitting</w:t>
      </w:r>
    </w:p>
    <w:p w14:paraId="1364AE89" w14:textId="77777777" w:rsidR="00094DDA" w:rsidRPr="004C7382" w:rsidRDefault="00094DDA" w:rsidP="00094DDA">
      <w:pPr>
        <w:pStyle w:val="LineBottom"/>
      </w:pPr>
    </w:p>
    <w:p w14:paraId="18886915" w14:textId="77777777" w:rsidR="00094DDA" w:rsidRPr="004C7382" w:rsidRDefault="00094DDA" w:rsidP="00094DDA">
      <w:pPr>
        <w:pStyle w:val="RefProc"/>
      </w:pPr>
      <w:r w:rsidRPr="004C7382">
        <w:rPr>
          <w:rStyle w:val="HideTWBExt"/>
          <w:b w:val="0"/>
          <w:noProof w:val="0"/>
        </w:rPr>
        <w:t>&lt;NoDocSe&gt;</w:t>
      </w:r>
      <w:r w:rsidR="008A61FA" w:rsidRPr="004C7382">
        <w:t>B8</w:t>
      </w:r>
      <w:r w:rsidR="008A61FA" w:rsidRPr="004C7382">
        <w:noBreakHyphen/>
        <w:t>0158/2018</w:t>
      </w:r>
      <w:r w:rsidRPr="004C7382">
        <w:rPr>
          <w:rStyle w:val="HideTWBExt"/>
          <w:b w:val="0"/>
          <w:noProof w:val="0"/>
        </w:rPr>
        <w:t>&lt;/NoDocSe&gt;</w:t>
      </w:r>
    </w:p>
    <w:p w14:paraId="4433FDA8" w14:textId="77777777" w:rsidR="00094DDA" w:rsidRPr="004C7382" w:rsidRDefault="00094DDA" w:rsidP="00094DDA">
      <w:pPr>
        <w:pStyle w:val="ZDate"/>
      </w:pPr>
      <w:r w:rsidRPr="004C7382">
        <w:rPr>
          <w:rStyle w:val="HideTWBExt"/>
          <w:noProof w:val="0"/>
        </w:rPr>
        <w:t>&lt;Date&gt;</w:t>
      </w:r>
      <w:r w:rsidR="008A61FA" w:rsidRPr="004C7382">
        <w:rPr>
          <w:rStyle w:val="HideTWBInt"/>
        </w:rPr>
        <w:t>{12/03/2018}</w:t>
      </w:r>
      <w:r w:rsidR="008A61FA" w:rsidRPr="004C7382">
        <w:t>12.3.2018</w:t>
      </w:r>
      <w:r w:rsidRPr="004C7382">
        <w:rPr>
          <w:rStyle w:val="HideTWBExt"/>
          <w:noProof w:val="0"/>
        </w:rPr>
        <w:t>&lt;/Date&gt;</w:t>
      </w:r>
    </w:p>
    <w:p w14:paraId="1996E442" w14:textId="77777777" w:rsidR="00814BC6" w:rsidRPr="004C7382" w:rsidRDefault="00814BC6">
      <w:pPr>
        <w:pStyle w:val="TypeDoc"/>
      </w:pPr>
      <w:r w:rsidRPr="004C7382">
        <w:rPr>
          <w:rStyle w:val="HideTWBExt"/>
          <w:b w:val="0"/>
          <w:noProof w:val="0"/>
        </w:rPr>
        <w:t>&lt;TitreType&gt;</w:t>
      </w:r>
      <w:r w:rsidR="008A61FA" w:rsidRPr="004C7382">
        <w:t>MOTION FOR A RESOLUTION</w:t>
      </w:r>
      <w:r w:rsidRPr="004C7382">
        <w:rPr>
          <w:rStyle w:val="HideTWBExt"/>
          <w:b w:val="0"/>
          <w:noProof w:val="0"/>
        </w:rPr>
        <w:t>&lt;/TitreType&gt;</w:t>
      </w:r>
    </w:p>
    <w:p w14:paraId="4CBF83BB" w14:textId="77777777" w:rsidR="00814BC6" w:rsidRPr="004C7382" w:rsidRDefault="00814BC6">
      <w:pPr>
        <w:pStyle w:val="Cover12"/>
      </w:pPr>
      <w:r w:rsidRPr="004C7382">
        <w:rPr>
          <w:rStyle w:val="HideTWBExt"/>
          <w:noProof w:val="0"/>
        </w:rPr>
        <w:t>&lt;TitreSuite&gt;</w:t>
      </w:r>
      <w:r w:rsidR="00935675" w:rsidRPr="004C7382">
        <w:t xml:space="preserve">to wind up the debate on </w:t>
      </w:r>
      <w:r w:rsidR="008A61FA" w:rsidRPr="004C7382">
        <w:t>the statement by the Commission</w:t>
      </w:r>
      <w:r w:rsidRPr="004C7382">
        <w:rPr>
          <w:rStyle w:val="HideTWBExt"/>
          <w:noProof w:val="0"/>
        </w:rPr>
        <w:t>&lt;/TitreSuite&gt;</w:t>
      </w:r>
    </w:p>
    <w:p w14:paraId="6A2D68E9" w14:textId="77777777" w:rsidR="00814BC6" w:rsidRPr="004C7382" w:rsidRDefault="00814BC6">
      <w:pPr>
        <w:pStyle w:val="Cover12"/>
      </w:pPr>
      <w:r w:rsidRPr="004C7382">
        <w:rPr>
          <w:rStyle w:val="HideTWBExt"/>
          <w:noProof w:val="0"/>
        </w:rPr>
        <w:t>&lt;TitreRecueil&gt;</w:t>
      </w:r>
      <w:r w:rsidR="00935675" w:rsidRPr="004C7382">
        <w:t>pursuant to Rule 123(2) of the Rules of Procedure</w:t>
      </w:r>
      <w:r w:rsidRPr="004C7382">
        <w:rPr>
          <w:rStyle w:val="HideTWBExt"/>
          <w:noProof w:val="0"/>
        </w:rPr>
        <w:t>&lt;/TitreRecueil&gt;</w:t>
      </w:r>
    </w:p>
    <w:p w14:paraId="6B1E9386" w14:textId="324C8089" w:rsidR="00C23264" w:rsidRPr="00BF72BF" w:rsidRDefault="00C23264" w:rsidP="00C23264">
      <w:pPr>
        <w:pStyle w:val="CoverNormal"/>
        <w:rPr>
          <w:lang w:val="fr-FR"/>
        </w:rPr>
      </w:pPr>
      <w:r w:rsidRPr="00BF72BF">
        <w:rPr>
          <w:rStyle w:val="HideTWBExt"/>
          <w:noProof w:val="0"/>
          <w:lang w:val="fr-FR"/>
        </w:rPr>
        <w:t>&lt;Titre&gt;</w:t>
      </w:r>
      <w:r w:rsidR="00935675" w:rsidRPr="00BF72BF">
        <w:rPr>
          <w:lang w:val="fr-FR"/>
        </w:rPr>
        <w:t xml:space="preserve">on </w:t>
      </w:r>
      <w:proofErr w:type="spellStart"/>
      <w:r w:rsidR="008A61FA" w:rsidRPr="00BF72BF">
        <w:rPr>
          <w:lang w:val="fr-FR"/>
        </w:rPr>
        <w:t>Corporate</w:t>
      </w:r>
      <w:proofErr w:type="spellEnd"/>
      <w:r w:rsidR="008A61FA" w:rsidRPr="00BF72BF">
        <w:rPr>
          <w:lang w:val="fr-FR"/>
        </w:rPr>
        <w:t xml:space="preserve"> Social </w:t>
      </w:r>
      <w:proofErr w:type="spellStart"/>
      <w:r w:rsidR="008A61FA" w:rsidRPr="00BF72BF">
        <w:rPr>
          <w:lang w:val="fr-FR"/>
        </w:rPr>
        <w:t>Responsibility</w:t>
      </w:r>
      <w:proofErr w:type="spellEnd"/>
      <w:r w:rsidR="008A61FA" w:rsidRPr="00BF72BF">
        <w:rPr>
          <w:lang w:val="fr-FR"/>
        </w:rPr>
        <w:t xml:space="preserve"> (CSR)</w:t>
      </w:r>
      <w:r w:rsidRPr="00BF72BF">
        <w:rPr>
          <w:rStyle w:val="HideTWBExt"/>
          <w:noProof w:val="0"/>
          <w:lang w:val="fr-FR"/>
        </w:rPr>
        <w:t>&lt;/Titre&gt;</w:t>
      </w:r>
    </w:p>
    <w:p w14:paraId="0F0E7691" w14:textId="77777777" w:rsidR="00C23264" w:rsidRPr="00F320B4" w:rsidRDefault="00C23264" w:rsidP="00C23264">
      <w:pPr>
        <w:pStyle w:val="Cover24"/>
        <w:rPr>
          <w:lang w:val="fr-FR"/>
        </w:rPr>
      </w:pPr>
      <w:r w:rsidRPr="00F320B4">
        <w:rPr>
          <w:rStyle w:val="HideTWBExt"/>
          <w:noProof w:val="0"/>
          <w:lang w:val="fr-FR"/>
        </w:rPr>
        <w:t>&lt;</w:t>
      </w:r>
      <w:proofErr w:type="spellStart"/>
      <w:r w:rsidRPr="00F320B4">
        <w:rPr>
          <w:rStyle w:val="HideTWBExt"/>
          <w:noProof w:val="0"/>
          <w:lang w:val="fr-FR"/>
        </w:rPr>
        <w:t>DocRef</w:t>
      </w:r>
      <w:proofErr w:type="spellEnd"/>
      <w:r w:rsidRPr="00F320B4">
        <w:rPr>
          <w:rStyle w:val="HideTWBExt"/>
          <w:noProof w:val="0"/>
          <w:lang w:val="fr-FR"/>
        </w:rPr>
        <w:t>&gt;</w:t>
      </w:r>
      <w:r w:rsidR="00935675" w:rsidRPr="00F320B4">
        <w:rPr>
          <w:lang w:val="fr-FR"/>
        </w:rPr>
        <w:t>(</w:t>
      </w:r>
      <w:r w:rsidR="008A61FA" w:rsidRPr="00F320B4">
        <w:rPr>
          <w:lang w:val="fr-FR"/>
        </w:rPr>
        <w:t>2018/2633</w:t>
      </w:r>
      <w:r w:rsidR="00935675" w:rsidRPr="00F320B4">
        <w:rPr>
          <w:lang w:val="fr-FR"/>
        </w:rPr>
        <w:t>(RSP</w:t>
      </w:r>
      <w:proofErr w:type="gramStart"/>
      <w:r w:rsidR="00935675" w:rsidRPr="00F320B4">
        <w:rPr>
          <w:lang w:val="fr-FR"/>
        </w:rPr>
        <w:t>))</w:t>
      </w:r>
      <w:r w:rsidRPr="00F320B4">
        <w:rPr>
          <w:rStyle w:val="HideTWBExt"/>
          <w:noProof w:val="0"/>
          <w:lang w:val="fr-FR"/>
        </w:rPr>
        <w:t>&lt;</w:t>
      </w:r>
      <w:proofErr w:type="gramEnd"/>
      <w:r w:rsidRPr="00F320B4">
        <w:rPr>
          <w:rStyle w:val="HideTWBExt"/>
          <w:noProof w:val="0"/>
          <w:lang w:val="fr-FR"/>
        </w:rPr>
        <w:t>/</w:t>
      </w:r>
      <w:proofErr w:type="spellStart"/>
      <w:r w:rsidRPr="00F320B4">
        <w:rPr>
          <w:rStyle w:val="HideTWBExt"/>
          <w:noProof w:val="0"/>
          <w:lang w:val="fr-FR"/>
        </w:rPr>
        <w:t>DocRef</w:t>
      </w:r>
      <w:proofErr w:type="spellEnd"/>
      <w:r w:rsidRPr="00F320B4">
        <w:rPr>
          <w:rStyle w:val="HideTWBExt"/>
          <w:noProof w:val="0"/>
          <w:lang w:val="fr-FR"/>
        </w:rPr>
        <w:t>&gt;</w:t>
      </w:r>
    </w:p>
    <w:p w14:paraId="38E747F5" w14:textId="77777777" w:rsidR="002574AA" w:rsidRPr="00F320B4" w:rsidRDefault="002574AA" w:rsidP="002574AA">
      <w:pPr>
        <w:pStyle w:val="CoverBold"/>
        <w:rPr>
          <w:lang w:val="fr-FR"/>
        </w:rPr>
      </w:pPr>
      <w:r w:rsidRPr="00F320B4">
        <w:rPr>
          <w:rStyle w:val="HideTWBExt"/>
          <w:b w:val="0"/>
          <w:noProof w:val="0"/>
          <w:lang w:val="fr-FR"/>
        </w:rPr>
        <w:t>&lt;</w:t>
      </w:r>
      <w:proofErr w:type="spellStart"/>
      <w:r w:rsidRPr="00F320B4">
        <w:rPr>
          <w:rStyle w:val="HideTWBExt"/>
          <w:b w:val="0"/>
          <w:noProof w:val="0"/>
          <w:lang w:val="fr-FR"/>
        </w:rPr>
        <w:t>RepeatBlock</w:t>
      </w:r>
      <w:proofErr w:type="spellEnd"/>
      <w:r w:rsidRPr="00F320B4">
        <w:rPr>
          <w:rStyle w:val="HideTWBExt"/>
          <w:b w:val="0"/>
          <w:noProof w:val="0"/>
          <w:lang w:val="fr-FR"/>
        </w:rPr>
        <w:t>-By&gt;&lt;</w:t>
      </w:r>
      <w:proofErr w:type="spellStart"/>
      <w:r w:rsidRPr="00F320B4">
        <w:rPr>
          <w:rStyle w:val="HideTWBExt"/>
          <w:b w:val="0"/>
          <w:noProof w:val="0"/>
          <w:lang w:val="fr-FR"/>
        </w:rPr>
        <w:t>Depute</w:t>
      </w:r>
      <w:proofErr w:type="spellEnd"/>
      <w:r w:rsidRPr="00F320B4">
        <w:rPr>
          <w:rStyle w:val="HideTWBExt"/>
          <w:b w:val="0"/>
          <w:noProof w:val="0"/>
          <w:lang w:val="fr-FR"/>
        </w:rPr>
        <w:t>&gt;</w:t>
      </w:r>
      <w:r w:rsidR="008A61FA" w:rsidRPr="00F320B4">
        <w:rPr>
          <w:lang w:val="fr-FR"/>
        </w:rPr>
        <w:t xml:space="preserve">Patrick Le </w:t>
      </w:r>
      <w:proofErr w:type="spellStart"/>
      <w:r w:rsidR="008A61FA" w:rsidRPr="00F320B4">
        <w:rPr>
          <w:lang w:val="fr-FR"/>
        </w:rPr>
        <w:t>Hyaric</w:t>
      </w:r>
      <w:proofErr w:type="spellEnd"/>
      <w:r w:rsidR="008A61FA" w:rsidRPr="00F320B4">
        <w:rPr>
          <w:lang w:val="fr-FR"/>
        </w:rPr>
        <w:t xml:space="preserve">, Lola </w:t>
      </w:r>
      <w:proofErr w:type="spellStart"/>
      <w:r w:rsidR="008A61FA" w:rsidRPr="00F320B4">
        <w:rPr>
          <w:lang w:val="fr-FR"/>
        </w:rPr>
        <w:t>Sánchez</w:t>
      </w:r>
      <w:proofErr w:type="spellEnd"/>
      <w:r w:rsidR="008A61FA" w:rsidRPr="00F320B4">
        <w:rPr>
          <w:lang w:val="fr-FR"/>
        </w:rPr>
        <w:t xml:space="preserve"> </w:t>
      </w:r>
      <w:proofErr w:type="spellStart"/>
      <w:r w:rsidR="008A61FA" w:rsidRPr="00F320B4">
        <w:rPr>
          <w:lang w:val="fr-FR"/>
        </w:rPr>
        <w:t>Caldentey</w:t>
      </w:r>
      <w:proofErr w:type="spellEnd"/>
      <w:r w:rsidR="008A61FA" w:rsidRPr="00F320B4">
        <w:rPr>
          <w:lang w:val="fr-FR"/>
        </w:rPr>
        <w:t xml:space="preserve">, </w:t>
      </w:r>
      <w:proofErr w:type="spellStart"/>
      <w:r w:rsidR="008A61FA" w:rsidRPr="00F320B4">
        <w:rPr>
          <w:lang w:val="fr-FR"/>
        </w:rPr>
        <w:t>Merja</w:t>
      </w:r>
      <w:proofErr w:type="spellEnd"/>
      <w:r w:rsidR="008A61FA" w:rsidRPr="00F320B4">
        <w:rPr>
          <w:lang w:val="fr-FR"/>
        </w:rPr>
        <w:t xml:space="preserve"> </w:t>
      </w:r>
      <w:proofErr w:type="spellStart"/>
      <w:r w:rsidR="008A61FA" w:rsidRPr="00F320B4">
        <w:rPr>
          <w:lang w:val="fr-FR"/>
        </w:rPr>
        <w:t>Kyllönen</w:t>
      </w:r>
      <w:proofErr w:type="spellEnd"/>
      <w:r w:rsidR="008A61FA" w:rsidRPr="00F320B4">
        <w:rPr>
          <w:lang w:val="fr-FR"/>
        </w:rPr>
        <w:t xml:space="preserve">, </w:t>
      </w:r>
      <w:proofErr w:type="spellStart"/>
      <w:r w:rsidR="008A61FA" w:rsidRPr="00F320B4">
        <w:rPr>
          <w:lang w:val="fr-FR"/>
        </w:rPr>
        <w:t>Neoklis</w:t>
      </w:r>
      <w:proofErr w:type="spellEnd"/>
      <w:r w:rsidR="008A61FA" w:rsidRPr="00F320B4">
        <w:rPr>
          <w:lang w:val="fr-FR"/>
        </w:rPr>
        <w:t xml:space="preserve"> </w:t>
      </w:r>
      <w:proofErr w:type="spellStart"/>
      <w:r w:rsidR="008A61FA" w:rsidRPr="00F320B4">
        <w:rPr>
          <w:lang w:val="fr-FR"/>
        </w:rPr>
        <w:t>Sylikiotis</w:t>
      </w:r>
      <w:proofErr w:type="spellEnd"/>
      <w:r w:rsidR="008A61FA" w:rsidRPr="00F320B4">
        <w:rPr>
          <w:lang w:val="fr-FR"/>
        </w:rPr>
        <w:t xml:space="preserve">, Takis </w:t>
      </w:r>
      <w:proofErr w:type="spellStart"/>
      <w:r w:rsidR="008A61FA" w:rsidRPr="00F320B4">
        <w:rPr>
          <w:lang w:val="fr-FR"/>
        </w:rPr>
        <w:t>Hadjigeorgiou</w:t>
      </w:r>
      <w:proofErr w:type="spellEnd"/>
      <w:r w:rsidR="008A61FA" w:rsidRPr="00F320B4">
        <w:rPr>
          <w:lang w:val="fr-FR"/>
        </w:rPr>
        <w:t xml:space="preserve">, Marina </w:t>
      </w:r>
      <w:proofErr w:type="spellStart"/>
      <w:r w:rsidR="008A61FA" w:rsidRPr="00F320B4">
        <w:rPr>
          <w:lang w:val="fr-FR"/>
        </w:rPr>
        <w:t>Albiol</w:t>
      </w:r>
      <w:proofErr w:type="spellEnd"/>
      <w:r w:rsidR="008A61FA" w:rsidRPr="00F320B4">
        <w:rPr>
          <w:lang w:val="fr-FR"/>
        </w:rPr>
        <w:t xml:space="preserve"> Guzmán, Paloma </w:t>
      </w:r>
      <w:proofErr w:type="spellStart"/>
      <w:r w:rsidR="008A61FA" w:rsidRPr="00F320B4">
        <w:rPr>
          <w:lang w:val="fr-FR"/>
        </w:rPr>
        <w:t>López</w:t>
      </w:r>
      <w:proofErr w:type="spellEnd"/>
      <w:r w:rsidR="008A61FA" w:rsidRPr="00F320B4">
        <w:rPr>
          <w:lang w:val="fr-FR"/>
        </w:rPr>
        <w:t xml:space="preserve"> Bermejo, Barbara </w:t>
      </w:r>
      <w:proofErr w:type="spellStart"/>
      <w:r w:rsidR="008A61FA" w:rsidRPr="00F320B4">
        <w:rPr>
          <w:lang w:val="fr-FR"/>
        </w:rPr>
        <w:t>Spinelli</w:t>
      </w:r>
      <w:proofErr w:type="spellEnd"/>
      <w:r w:rsidR="008A61FA" w:rsidRPr="00F320B4">
        <w:rPr>
          <w:lang w:val="fr-FR"/>
        </w:rPr>
        <w:t xml:space="preserve">, </w:t>
      </w:r>
      <w:proofErr w:type="spellStart"/>
      <w:r w:rsidR="008A61FA" w:rsidRPr="00F320B4">
        <w:rPr>
          <w:lang w:val="fr-FR"/>
        </w:rPr>
        <w:t>Younous</w:t>
      </w:r>
      <w:proofErr w:type="spellEnd"/>
      <w:r w:rsidR="008A61FA" w:rsidRPr="00F320B4">
        <w:rPr>
          <w:lang w:val="fr-FR"/>
        </w:rPr>
        <w:t xml:space="preserve"> </w:t>
      </w:r>
      <w:proofErr w:type="spellStart"/>
      <w:r w:rsidR="008A61FA" w:rsidRPr="00F320B4">
        <w:rPr>
          <w:lang w:val="fr-FR"/>
        </w:rPr>
        <w:t>Omarjee</w:t>
      </w:r>
      <w:proofErr w:type="spellEnd"/>
      <w:r w:rsidR="008A61FA" w:rsidRPr="00F320B4">
        <w:rPr>
          <w:lang w:val="fr-FR"/>
        </w:rPr>
        <w:t xml:space="preserve">, </w:t>
      </w:r>
      <w:proofErr w:type="spellStart"/>
      <w:r w:rsidR="008A61FA" w:rsidRPr="00F320B4">
        <w:rPr>
          <w:lang w:val="fr-FR"/>
        </w:rPr>
        <w:t>Ángela</w:t>
      </w:r>
      <w:proofErr w:type="spellEnd"/>
      <w:r w:rsidR="008A61FA" w:rsidRPr="00F320B4">
        <w:rPr>
          <w:lang w:val="fr-FR"/>
        </w:rPr>
        <w:t xml:space="preserve"> </w:t>
      </w:r>
      <w:proofErr w:type="spellStart"/>
      <w:r w:rsidR="008A61FA" w:rsidRPr="00F320B4">
        <w:rPr>
          <w:lang w:val="fr-FR"/>
        </w:rPr>
        <w:t>Vallina</w:t>
      </w:r>
      <w:proofErr w:type="spellEnd"/>
      <w:r w:rsidRPr="00F320B4">
        <w:rPr>
          <w:rStyle w:val="HideTWBExt"/>
          <w:b w:val="0"/>
          <w:noProof w:val="0"/>
          <w:color w:val="auto"/>
          <w:lang w:val="fr-FR"/>
        </w:rPr>
        <w:t>&lt;/</w:t>
      </w:r>
      <w:proofErr w:type="spellStart"/>
      <w:r w:rsidRPr="00F320B4">
        <w:rPr>
          <w:rStyle w:val="HideTWBExt"/>
          <w:b w:val="0"/>
          <w:noProof w:val="0"/>
          <w:color w:val="auto"/>
          <w:lang w:val="fr-FR"/>
        </w:rPr>
        <w:t>Depute</w:t>
      </w:r>
      <w:proofErr w:type="spellEnd"/>
      <w:r w:rsidRPr="00F320B4">
        <w:rPr>
          <w:rStyle w:val="HideTWBExt"/>
          <w:b w:val="0"/>
          <w:noProof w:val="0"/>
          <w:color w:val="auto"/>
          <w:lang w:val="fr-FR"/>
        </w:rPr>
        <w:t>&gt;</w:t>
      </w:r>
    </w:p>
    <w:p w14:paraId="1BC04D16" w14:textId="77777777" w:rsidR="002574AA" w:rsidRPr="004C7382" w:rsidRDefault="002574AA" w:rsidP="002574AA">
      <w:pPr>
        <w:pStyle w:val="CoverNormal"/>
      </w:pPr>
      <w:r w:rsidRPr="004C7382">
        <w:rPr>
          <w:rStyle w:val="HideTWBExt"/>
          <w:noProof w:val="0"/>
        </w:rPr>
        <w:t>&lt;Commission</w:t>
      </w:r>
      <w:proofErr w:type="gramStart"/>
      <w:r w:rsidRPr="004C7382">
        <w:rPr>
          <w:rStyle w:val="HideTWBExt"/>
          <w:noProof w:val="0"/>
        </w:rPr>
        <w:t>&gt;</w:t>
      </w:r>
      <w:r w:rsidR="008A61FA" w:rsidRPr="004C7382">
        <w:rPr>
          <w:rStyle w:val="HideTWBInt"/>
        </w:rPr>
        <w:t>{</w:t>
      </w:r>
      <w:proofErr w:type="gramEnd"/>
      <w:r w:rsidR="008A61FA" w:rsidRPr="004C7382">
        <w:rPr>
          <w:rStyle w:val="HideTWBInt"/>
        </w:rPr>
        <w:t>GUE/NGL}</w:t>
      </w:r>
      <w:r w:rsidR="008A61FA" w:rsidRPr="004C7382">
        <w:t>on behalf of the GUE/NGL Group</w:t>
      </w:r>
      <w:r w:rsidRPr="004C7382">
        <w:rPr>
          <w:rStyle w:val="HideTWBExt"/>
          <w:noProof w:val="0"/>
        </w:rPr>
        <w:t>&lt;/Commission&gt;</w:t>
      </w:r>
    </w:p>
    <w:p w14:paraId="3B59F89E" w14:textId="77777777" w:rsidR="002574AA" w:rsidRPr="004C7382" w:rsidRDefault="002574AA" w:rsidP="002574AA">
      <w:pPr>
        <w:pStyle w:val="CoverNormal"/>
      </w:pPr>
      <w:r w:rsidRPr="004C7382">
        <w:rPr>
          <w:rStyle w:val="HideTWBExt"/>
          <w:noProof w:val="0"/>
        </w:rPr>
        <w:t>&lt;/RepeatBlock-By&gt;</w:t>
      </w:r>
    </w:p>
    <w:p w14:paraId="05A3A503" w14:textId="77777777" w:rsidR="00814BC6" w:rsidRPr="004C7382" w:rsidRDefault="00814BC6">
      <w:pPr>
        <w:pStyle w:val="Normal12Bold"/>
      </w:pPr>
      <w:r w:rsidRPr="004C7382">
        <w:br w:type="page"/>
      </w:r>
      <w:r w:rsidR="008A61FA" w:rsidRPr="004C7382">
        <w:lastRenderedPageBreak/>
        <w:t>B8</w:t>
      </w:r>
      <w:r w:rsidR="008A61FA" w:rsidRPr="004C7382">
        <w:noBreakHyphen/>
        <w:t>0158/2018</w:t>
      </w:r>
    </w:p>
    <w:p w14:paraId="71FE0EDF" w14:textId="3BEBDFD0" w:rsidR="00C23264" w:rsidRPr="004C7382" w:rsidRDefault="00935675" w:rsidP="00C23264">
      <w:pPr>
        <w:pStyle w:val="NormalBold"/>
      </w:pPr>
      <w:r w:rsidRPr="004C7382">
        <w:t xml:space="preserve">European Parliament resolution on </w:t>
      </w:r>
      <w:r w:rsidR="008A61FA" w:rsidRPr="004C7382">
        <w:t>Corporate Social Responsibility (CSR)</w:t>
      </w:r>
    </w:p>
    <w:p w14:paraId="3A8D765A" w14:textId="77777777" w:rsidR="00C23264" w:rsidRPr="004C7382" w:rsidRDefault="00935675" w:rsidP="00C23264">
      <w:pPr>
        <w:pStyle w:val="Normal24Bold"/>
      </w:pPr>
      <w:r w:rsidRPr="004C7382">
        <w:t>(</w:t>
      </w:r>
      <w:r w:rsidR="008A61FA" w:rsidRPr="004C7382">
        <w:t>2018/2633</w:t>
      </w:r>
      <w:r w:rsidRPr="004C7382">
        <w:t>(RSP))</w:t>
      </w:r>
    </w:p>
    <w:p w14:paraId="60021F8E" w14:textId="77777777" w:rsidR="00814BC6" w:rsidRPr="004C7382" w:rsidRDefault="00935675">
      <w:pPr>
        <w:pStyle w:val="Normal12"/>
      </w:pPr>
      <w:r w:rsidRPr="004C7382">
        <w:rPr>
          <w:i/>
        </w:rPr>
        <w:t>The European Parliament</w:t>
      </w:r>
      <w:r w:rsidRPr="004C7382">
        <w:t>,</w:t>
      </w:r>
    </w:p>
    <w:p w14:paraId="5F82CBA8" w14:textId="62F5F272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the Treaty on the Functioning of the European Union (TFEU), in particular Articles 6, 9, 151, 152, 153(1) and (2), 173 and 174 thereof,</w:t>
      </w:r>
    </w:p>
    <w:p w14:paraId="37CBD6F4" w14:textId="77777777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Article 174 of the TFEU on economic, social and territorial cohesion, in particular in areas affected by industrial transition,</w:t>
      </w:r>
    </w:p>
    <w:p w14:paraId="22023033" w14:textId="2755D9F0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 xml:space="preserve">having regard to the </w:t>
      </w:r>
      <w:r w:rsidR="00E868AC" w:rsidRPr="004C7382">
        <w:t>revised European Social Charter</w:t>
      </w:r>
      <w:r w:rsidRPr="004C7382">
        <w:t>,</w:t>
      </w:r>
    </w:p>
    <w:p w14:paraId="48FFDB09" w14:textId="77777777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Articles 14, 27 and 30 of the Charter of Fundamental Rights of the European Union,</w:t>
      </w:r>
    </w:p>
    <w:p w14:paraId="1A82BF30" w14:textId="77777777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resolution of 5 October 2016 on the need for a European reindustrialisation policy in light of the recent Caterpillar and Alstom cases</w:t>
      </w:r>
      <w:r w:rsidRPr="004C7382">
        <w:rPr>
          <w:vertAlign w:val="superscript"/>
        </w:rPr>
        <w:footnoteReference w:id="1"/>
      </w:r>
      <w:r w:rsidRPr="004C7382">
        <w:t>,</w:t>
      </w:r>
    </w:p>
    <w:p w14:paraId="24ED62E4" w14:textId="77777777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resolution of 14 September 2016 on social dumping in the European Union</w:t>
      </w:r>
      <w:r w:rsidRPr="004C7382">
        <w:rPr>
          <w:vertAlign w:val="superscript"/>
        </w:rPr>
        <w:footnoteReference w:id="2"/>
      </w:r>
      <w:r w:rsidRPr="004C7382">
        <w:t>,</w:t>
      </w:r>
    </w:p>
    <w:p w14:paraId="41F77F1F" w14:textId="3E76FEC8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the Universal Declaration of Human Rights, in particular Articles 22 and 23 thereof on economic and social rights and the right to work,</w:t>
      </w:r>
    </w:p>
    <w:p w14:paraId="4ED4AE3D" w14:textId="76191233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resolution of 19 January 2017 on a European Pillar of Social Rights</w:t>
      </w:r>
      <w:r w:rsidRPr="004C7382">
        <w:rPr>
          <w:vertAlign w:val="superscript"/>
        </w:rPr>
        <w:footnoteReference w:id="3"/>
      </w:r>
      <w:r w:rsidRPr="004C7382">
        <w:t xml:space="preserve">, </w:t>
      </w:r>
    </w:p>
    <w:p w14:paraId="502D3C2A" w14:textId="3ADC1CAC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recommendation to the Council of 7 July 2016 on the 71st session of the United Nations General Assembly</w:t>
      </w:r>
      <w:r w:rsidRPr="004C7382">
        <w:rPr>
          <w:vertAlign w:val="superscript"/>
        </w:rPr>
        <w:footnoteReference w:id="4"/>
      </w:r>
      <w:r w:rsidRPr="004C7382">
        <w:t>,</w:t>
      </w:r>
    </w:p>
    <w:p w14:paraId="726A0793" w14:textId="2944CCED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resolution of 25 November 2014 on employment and social aspects of the Europe 2020 strategy</w:t>
      </w:r>
      <w:r w:rsidRPr="004C7382">
        <w:rPr>
          <w:vertAlign w:val="superscript"/>
        </w:rPr>
        <w:footnoteReference w:id="5"/>
      </w:r>
      <w:r w:rsidRPr="004C7382">
        <w:t>,</w:t>
      </w:r>
    </w:p>
    <w:p w14:paraId="68B176F4" w14:textId="77777777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resolution of 15 January 2013 with recommendations to the Commission on information and consultation of workers, anticipation and management of restructuring</w:t>
      </w:r>
      <w:r w:rsidRPr="004C7382">
        <w:rPr>
          <w:vertAlign w:val="superscript"/>
        </w:rPr>
        <w:footnoteReference w:id="6"/>
      </w:r>
      <w:r w:rsidRPr="004C7382">
        <w:t>,</w:t>
      </w:r>
    </w:p>
    <w:p w14:paraId="7B2D65D9" w14:textId="77777777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its previous resolutions on the steel industry and on the restructuring, transfer and closure of companies in the EU,</w:t>
      </w:r>
    </w:p>
    <w:p w14:paraId="17A935AA" w14:textId="4F765CCA" w:rsidR="002531D6" w:rsidRPr="004C7382" w:rsidRDefault="002531D6" w:rsidP="002531D6">
      <w:pPr>
        <w:spacing w:after="240"/>
        <w:ind w:left="567" w:hanging="567"/>
      </w:pPr>
      <w:r w:rsidRPr="004C7382">
        <w:lastRenderedPageBreak/>
        <w:t>–</w:t>
      </w:r>
      <w:r w:rsidRPr="004C7382">
        <w:tab/>
        <w:t>having regard to the OECD Guidelines for Multinational Enterprises,</w:t>
      </w:r>
    </w:p>
    <w:p w14:paraId="517C69BD" w14:textId="3D536D96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the International Labour Organisation (ILO) Tripartite Declaration of Principles concerning Multinational Enterprises and Social Policy,</w:t>
      </w:r>
    </w:p>
    <w:p w14:paraId="2CF14D3B" w14:textId="47777B02" w:rsidR="002531D6" w:rsidRPr="004C7382" w:rsidRDefault="002531D6" w:rsidP="002531D6">
      <w:pPr>
        <w:spacing w:after="240"/>
        <w:ind w:left="567" w:hanging="567"/>
      </w:pPr>
      <w:r w:rsidRPr="004C7382">
        <w:t>–</w:t>
      </w:r>
      <w:r w:rsidRPr="004C7382">
        <w:tab/>
        <w:t>having regard to the UN Guiding Principles on Business and Human Rights,</w:t>
      </w:r>
    </w:p>
    <w:p w14:paraId="402C948B" w14:textId="688C57EB" w:rsidR="002531D6" w:rsidRPr="004C7382" w:rsidRDefault="002531D6" w:rsidP="002531D6">
      <w:pPr>
        <w:widowControl/>
        <w:ind w:left="567" w:hanging="567"/>
        <w:jc w:val="both"/>
        <w:rPr>
          <w:rFonts w:eastAsia="Calibri"/>
          <w:szCs w:val="24"/>
          <w:lang w:eastAsia="en-US"/>
        </w:rPr>
      </w:pPr>
      <w:r w:rsidRPr="004C7382">
        <w:rPr>
          <w:rFonts w:eastAsia="Calibri"/>
          <w:szCs w:val="24"/>
          <w:lang w:eastAsia="en-US"/>
        </w:rPr>
        <w:t>–</w:t>
      </w:r>
      <w:r w:rsidRPr="004C7382">
        <w:rPr>
          <w:rFonts w:eastAsia="Calibri"/>
          <w:szCs w:val="24"/>
          <w:lang w:eastAsia="en-US"/>
        </w:rPr>
        <w:tab/>
        <w:t>having regard to Rule 123(2) of its Rules of Procedure,</w:t>
      </w:r>
    </w:p>
    <w:p w14:paraId="6B15C9BB" w14:textId="77777777" w:rsidR="002531D6" w:rsidRPr="004C7382" w:rsidRDefault="002531D6" w:rsidP="002531D6">
      <w:pPr>
        <w:widowControl/>
        <w:jc w:val="both"/>
        <w:rPr>
          <w:rFonts w:eastAsia="Calibri"/>
          <w:szCs w:val="24"/>
          <w:lang w:eastAsia="en-US"/>
        </w:rPr>
      </w:pPr>
    </w:p>
    <w:p w14:paraId="72E91E72" w14:textId="415A3419" w:rsidR="008A61FA" w:rsidRPr="004C7382" w:rsidRDefault="00814BC6" w:rsidP="008A61FA">
      <w:pPr>
        <w:pStyle w:val="Normal12Hanging"/>
      </w:pPr>
      <w:proofErr w:type="gramStart"/>
      <w:r w:rsidRPr="004C7382">
        <w:t>A.</w:t>
      </w:r>
      <w:r w:rsidRPr="004C7382">
        <w:tab/>
      </w:r>
      <w:r w:rsidR="00935675" w:rsidRPr="004C7382">
        <w:t xml:space="preserve">whereas </w:t>
      </w:r>
      <w:r w:rsidR="008A61FA" w:rsidRPr="004C7382">
        <w:t xml:space="preserve">closures and layoffs are </w:t>
      </w:r>
      <w:r w:rsidR="005422E7" w:rsidRPr="004C7382">
        <w:t xml:space="preserve">being </w:t>
      </w:r>
      <w:r w:rsidR="008A61FA" w:rsidRPr="004C7382">
        <w:t xml:space="preserve">announced throughout the </w:t>
      </w:r>
      <w:r w:rsidR="005422E7" w:rsidRPr="004C7382">
        <w:t xml:space="preserve">EU </w:t>
      </w:r>
      <w:r w:rsidR="008A61FA" w:rsidRPr="004C7382">
        <w:t>while economies are returning to growth and shareholder values have been maximi</w:t>
      </w:r>
      <w:r w:rsidR="005422E7" w:rsidRPr="004C7382">
        <w:t>s</w:t>
      </w:r>
      <w:r w:rsidR="008A61FA" w:rsidRPr="004C7382">
        <w:t xml:space="preserve">ed; whereas transfers of activities within the Union towards cheaper labour unit-cost </w:t>
      </w:r>
      <w:r w:rsidR="005422E7" w:rsidRPr="004C7382">
        <w:t xml:space="preserve">locations </w:t>
      </w:r>
      <w:r w:rsidR="008A61FA" w:rsidRPr="004C7382">
        <w:t>are still occurring</w:t>
      </w:r>
      <w:r w:rsidR="005422E7" w:rsidRPr="004C7382">
        <w:t>,</w:t>
      </w:r>
      <w:r w:rsidR="008A61FA" w:rsidRPr="004C7382">
        <w:t xml:space="preserve"> as in the cases of Carrefour, </w:t>
      </w:r>
      <w:proofErr w:type="spellStart"/>
      <w:r w:rsidR="008A61FA" w:rsidRPr="004C7382">
        <w:t>Embraco</w:t>
      </w:r>
      <w:proofErr w:type="spellEnd"/>
      <w:r w:rsidR="008A61FA" w:rsidRPr="004C7382">
        <w:t xml:space="preserve">, Kingfisher, </w:t>
      </w:r>
      <w:proofErr w:type="spellStart"/>
      <w:r w:rsidR="008A61FA" w:rsidRPr="004C7382">
        <w:t>Castorama</w:t>
      </w:r>
      <w:proofErr w:type="spellEnd"/>
      <w:r w:rsidR="005422E7" w:rsidRPr="004C7382">
        <w:t xml:space="preserve"> and</w:t>
      </w:r>
      <w:r w:rsidR="008A61FA" w:rsidRPr="004C7382">
        <w:t xml:space="preserve"> </w:t>
      </w:r>
      <w:proofErr w:type="spellStart"/>
      <w:r w:rsidR="008A61FA" w:rsidRPr="004C7382">
        <w:t>Brico</w:t>
      </w:r>
      <w:proofErr w:type="spellEnd"/>
      <w:r w:rsidR="005422E7" w:rsidRPr="004C7382">
        <w:t xml:space="preserve"> </w:t>
      </w:r>
      <w:proofErr w:type="spellStart"/>
      <w:r w:rsidR="005422E7" w:rsidRPr="004C7382">
        <w:t>D</w:t>
      </w:r>
      <w:r w:rsidR="008A61FA" w:rsidRPr="004C7382">
        <w:t>épôt</w:t>
      </w:r>
      <w:proofErr w:type="spellEnd"/>
      <w:r w:rsidR="008A61FA" w:rsidRPr="004C7382">
        <w:t xml:space="preserve">, sometimes even </w:t>
      </w:r>
      <w:r w:rsidR="005422E7" w:rsidRPr="004C7382">
        <w:t xml:space="preserve">calling </w:t>
      </w:r>
      <w:r w:rsidR="008A61FA" w:rsidRPr="004C7382">
        <w:t xml:space="preserve">for active participation </w:t>
      </w:r>
      <w:r w:rsidR="005422E7" w:rsidRPr="004C7382">
        <w:t xml:space="preserve">by those </w:t>
      </w:r>
      <w:r w:rsidR="008A61FA" w:rsidRPr="004C7382">
        <w:t>who are losing their jobs;</w:t>
      </w:r>
      <w:proofErr w:type="gramEnd"/>
    </w:p>
    <w:p w14:paraId="7441FDF0" w14:textId="0B43669F" w:rsidR="008A61FA" w:rsidRPr="004C7382" w:rsidRDefault="008A61FA" w:rsidP="008A61FA">
      <w:pPr>
        <w:pStyle w:val="Normal12Hanging"/>
      </w:pPr>
      <w:proofErr w:type="gramStart"/>
      <w:r w:rsidRPr="004C7382">
        <w:t>B.</w:t>
      </w:r>
      <w:r w:rsidRPr="004C7382">
        <w:tab/>
        <w:t>whereas restructuring of companies, incentivised by the maximisation of profit for the benefit of the shareholders, leads to mass redundancies, often in already economically deprived regions</w:t>
      </w:r>
      <w:r w:rsidR="005422E7" w:rsidRPr="004C7382">
        <w:t xml:space="preserve">, as in </w:t>
      </w:r>
      <w:r w:rsidRPr="004C7382">
        <w:t>Siemens</w:t>
      </w:r>
      <w:r w:rsidR="008A3C4D" w:rsidRPr="004C7382">
        <w:t>’</w:t>
      </w:r>
      <w:r w:rsidRPr="004C7382">
        <w:t xml:space="preserve"> decision to close down facilities in Germany and the Netherlands resulting </w:t>
      </w:r>
      <w:r w:rsidR="005422E7" w:rsidRPr="004C7382">
        <w:t xml:space="preserve">in </w:t>
      </w:r>
      <w:r w:rsidRPr="004C7382">
        <w:t>the loss of over 4</w:t>
      </w:r>
      <w:r w:rsidR="005422E7" w:rsidRPr="004C7382">
        <w:t> </w:t>
      </w:r>
      <w:r w:rsidRPr="004C7382">
        <w:t>400 jobs</w:t>
      </w:r>
      <w:r w:rsidR="005422E7" w:rsidRPr="004C7382">
        <w:t>,</w:t>
      </w:r>
      <w:r w:rsidRPr="004C7382">
        <w:t xml:space="preserve"> while the same companies </w:t>
      </w:r>
      <w:r w:rsidR="005422E7" w:rsidRPr="004C7382">
        <w:t xml:space="preserve">have </w:t>
      </w:r>
      <w:r w:rsidRPr="004C7382">
        <w:t xml:space="preserve">received subsidies and funds from </w:t>
      </w:r>
      <w:r w:rsidR="005422E7" w:rsidRPr="004C7382">
        <w:t xml:space="preserve">the respective </w:t>
      </w:r>
      <w:r w:rsidRPr="004C7382">
        <w:t>Member States;</w:t>
      </w:r>
      <w:proofErr w:type="gramEnd"/>
    </w:p>
    <w:p w14:paraId="22B7CA37" w14:textId="7CB96020" w:rsidR="008A61FA" w:rsidRPr="004C7382" w:rsidRDefault="008A61FA" w:rsidP="008A61FA">
      <w:pPr>
        <w:pStyle w:val="Normal12Hanging"/>
      </w:pPr>
      <w:proofErr w:type="gramStart"/>
      <w:r w:rsidRPr="004C7382">
        <w:t>C.</w:t>
      </w:r>
      <w:r w:rsidRPr="004C7382">
        <w:tab/>
        <w:t xml:space="preserve">whereas </w:t>
      </w:r>
      <w:r w:rsidR="005422E7" w:rsidRPr="004C7382">
        <w:t xml:space="preserve">the Brazilian multinational </w:t>
      </w:r>
      <w:proofErr w:type="spellStart"/>
      <w:r w:rsidR="005422E7" w:rsidRPr="004C7382">
        <w:t>Embraco</w:t>
      </w:r>
      <w:proofErr w:type="spellEnd"/>
      <w:r w:rsidR="005422E7" w:rsidRPr="004C7382">
        <w:t xml:space="preserve"> has </w:t>
      </w:r>
      <w:r w:rsidRPr="004C7382">
        <w:t xml:space="preserve">announced the closure of </w:t>
      </w:r>
      <w:r w:rsidR="005422E7" w:rsidRPr="004C7382">
        <w:t xml:space="preserve">its branch </w:t>
      </w:r>
      <w:r w:rsidRPr="004C7382">
        <w:t xml:space="preserve">near Turin in Italy </w:t>
      </w:r>
      <w:r w:rsidR="005422E7" w:rsidRPr="004C7382">
        <w:t xml:space="preserve">in favour of moving </w:t>
      </w:r>
      <w:r w:rsidRPr="004C7382">
        <w:t>to Slovakia</w:t>
      </w:r>
      <w:r w:rsidR="005422E7" w:rsidRPr="004C7382">
        <w:t>,</w:t>
      </w:r>
      <w:r w:rsidRPr="004C7382">
        <w:t xml:space="preserve"> where </w:t>
      </w:r>
      <w:r w:rsidR="005422E7" w:rsidRPr="004C7382">
        <w:t xml:space="preserve">it expects </w:t>
      </w:r>
      <w:r w:rsidRPr="004C7382">
        <w:t xml:space="preserve">to </w:t>
      </w:r>
      <w:r w:rsidR="005422E7" w:rsidRPr="004C7382">
        <w:t xml:space="preserve">obtain major </w:t>
      </w:r>
      <w:r w:rsidRPr="004C7382">
        <w:t xml:space="preserve">economic and fiscal </w:t>
      </w:r>
      <w:r w:rsidR="005422E7" w:rsidRPr="004C7382">
        <w:t xml:space="preserve">advantages </w:t>
      </w:r>
      <w:r w:rsidRPr="004C7382">
        <w:t xml:space="preserve">by means of </w:t>
      </w:r>
      <w:r w:rsidR="005422E7" w:rsidRPr="004C7382">
        <w:t>s</w:t>
      </w:r>
      <w:r w:rsidRPr="004C7382">
        <w:t xml:space="preserve">tate aids and </w:t>
      </w:r>
      <w:r w:rsidR="005422E7" w:rsidRPr="004C7382">
        <w:t>S</w:t>
      </w:r>
      <w:r w:rsidRPr="004C7382">
        <w:t xml:space="preserve">tructural </w:t>
      </w:r>
      <w:r w:rsidR="005422E7" w:rsidRPr="004C7382">
        <w:t>F</w:t>
      </w:r>
      <w:r w:rsidRPr="004C7382">
        <w:t>und</w:t>
      </w:r>
      <w:r w:rsidR="005422E7" w:rsidRPr="004C7382">
        <w:t xml:space="preserve"> payments</w:t>
      </w:r>
      <w:r w:rsidRPr="004C7382">
        <w:t xml:space="preserve">; whereas </w:t>
      </w:r>
      <w:proofErr w:type="spellStart"/>
      <w:r w:rsidR="005422E7" w:rsidRPr="004C7382">
        <w:t>Embraco</w:t>
      </w:r>
      <w:proofErr w:type="spellEnd"/>
      <w:r w:rsidR="005422E7" w:rsidRPr="004C7382">
        <w:t xml:space="preserve"> </w:t>
      </w:r>
      <w:r w:rsidRPr="004C7382">
        <w:t>is not in crisis and its 500 highly speciali</w:t>
      </w:r>
      <w:r w:rsidR="005422E7" w:rsidRPr="004C7382">
        <w:t>s</w:t>
      </w:r>
      <w:r w:rsidRPr="004C7382">
        <w:t xml:space="preserve">ed workers </w:t>
      </w:r>
      <w:r w:rsidR="00B25B4B">
        <w:t>have been made redundant but not for economic reasons,</w:t>
      </w:r>
      <w:bookmarkStart w:id="0" w:name="_GoBack"/>
      <w:bookmarkEnd w:id="0"/>
      <w:r w:rsidRPr="004C7382">
        <w:t xml:space="preserve"> and are </w:t>
      </w:r>
      <w:r w:rsidR="005422E7" w:rsidRPr="004C7382">
        <w:t xml:space="preserve">even expected </w:t>
      </w:r>
      <w:r w:rsidRPr="004C7382">
        <w:t xml:space="preserve">to </w:t>
      </w:r>
      <w:r w:rsidR="005422E7" w:rsidRPr="004C7382">
        <w:t xml:space="preserve">be </w:t>
      </w:r>
      <w:r w:rsidRPr="004C7382">
        <w:t xml:space="preserve">the trainers of the </w:t>
      </w:r>
      <w:r w:rsidR="005422E7" w:rsidRPr="004C7382">
        <w:t xml:space="preserve">Slovak </w:t>
      </w:r>
      <w:r w:rsidRPr="004C7382">
        <w:t>workers;</w:t>
      </w:r>
      <w:proofErr w:type="gramEnd"/>
    </w:p>
    <w:p w14:paraId="7FD5545A" w14:textId="0131E234" w:rsidR="008A61FA" w:rsidRPr="004C7382" w:rsidRDefault="008A61FA" w:rsidP="008A61FA">
      <w:pPr>
        <w:pStyle w:val="Normal12Hanging"/>
      </w:pPr>
      <w:r w:rsidRPr="004C7382">
        <w:t>D.</w:t>
      </w:r>
      <w:r w:rsidRPr="004C7382">
        <w:tab/>
        <w:t>whereas the UK</w:t>
      </w:r>
      <w:r w:rsidR="005422E7" w:rsidRPr="004C7382">
        <w:t xml:space="preserve"> firm</w:t>
      </w:r>
      <w:r w:rsidRPr="004C7382">
        <w:t xml:space="preserve"> Kingfisher has announced the relocation to Poland of the accounting service of its business and the </w:t>
      </w:r>
      <w:r w:rsidR="005422E7" w:rsidRPr="004C7382">
        <w:t xml:space="preserve">elimination </w:t>
      </w:r>
      <w:r w:rsidRPr="004C7382">
        <w:t xml:space="preserve">of 446 jobs </w:t>
      </w:r>
      <w:r w:rsidR="005422E7" w:rsidRPr="004C7382">
        <w:t xml:space="preserve">at its French subsidiaries </w:t>
      </w:r>
      <w:proofErr w:type="spellStart"/>
      <w:r w:rsidRPr="004C7382">
        <w:t>Castorama</w:t>
      </w:r>
      <w:proofErr w:type="spellEnd"/>
      <w:r w:rsidRPr="004C7382">
        <w:t xml:space="preserve"> and </w:t>
      </w:r>
      <w:proofErr w:type="spellStart"/>
      <w:r w:rsidRPr="004C7382">
        <w:t>Brico</w:t>
      </w:r>
      <w:proofErr w:type="spellEnd"/>
      <w:r w:rsidR="005422E7" w:rsidRPr="004C7382">
        <w:t xml:space="preserve"> </w:t>
      </w:r>
      <w:proofErr w:type="spellStart"/>
      <w:r w:rsidRPr="004C7382">
        <w:t>Dépôt</w:t>
      </w:r>
      <w:proofErr w:type="spellEnd"/>
      <w:r w:rsidRPr="004C7382">
        <w:t xml:space="preserve">; whereas the French employees have been </w:t>
      </w:r>
      <w:r w:rsidR="005422E7" w:rsidRPr="004C7382">
        <w:t xml:space="preserve">asked </w:t>
      </w:r>
      <w:r w:rsidRPr="004C7382">
        <w:t xml:space="preserve">to train the Polish colleagues who will replace them before </w:t>
      </w:r>
      <w:r w:rsidR="005422E7" w:rsidRPr="004C7382">
        <w:t xml:space="preserve">being </w:t>
      </w:r>
      <w:r w:rsidRPr="004C7382">
        <w:t>fired;</w:t>
      </w:r>
    </w:p>
    <w:p w14:paraId="3611FFA0" w14:textId="16CF2025" w:rsidR="008A61FA" w:rsidRPr="004C7382" w:rsidRDefault="008A61FA" w:rsidP="008A61FA">
      <w:pPr>
        <w:pStyle w:val="Normal12Hanging"/>
      </w:pPr>
      <w:r w:rsidRPr="004C7382">
        <w:t>E.</w:t>
      </w:r>
      <w:r w:rsidRPr="004C7382">
        <w:tab/>
        <w:t>whereas globali</w:t>
      </w:r>
      <w:r w:rsidR="005422E7" w:rsidRPr="004C7382">
        <w:t>s</w:t>
      </w:r>
      <w:r w:rsidRPr="004C7382">
        <w:t>ation has introduced new global chain value production schemes, with fiercer competition between business actors; whereas fair trade in industrial products must respect workers</w:t>
      </w:r>
      <w:r w:rsidR="008A3C4D" w:rsidRPr="004C7382">
        <w:t>’</w:t>
      </w:r>
      <w:r w:rsidRPr="004C7382">
        <w:t xml:space="preserve"> rights, environmental rules and other social and </w:t>
      </w:r>
      <w:r w:rsidR="005422E7" w:rsidRPr="004C7382">
        <w:t xml:space="preserve">fiscal </w:t>
      </w:r>
      <w:r w:rsidRPr="004C7382">
        <w:t xml:space="preserve">standards; </w:t>
      </w:r>
    </w:p>
    <w:p w14:paraId="6B886B93" w14:textId="30C4D1C5" w:rsidR="008A61FA" w:rsidRPr="004C7382" w:rsidRDefault="008A61FA" w:rsidP="008A61FA">
      <w:pPr>
        <w:pStyle w:val="Normal12Hanging"/>
      </w:pPr>
      <w:r w:rsidRPr="004C7382">
        <w:t>F.</w:t>
      </w:r>
      <w:r w:rsidRPr="004C7382">
        <w:tab/>
        <w:t xml:space="preserve">whereas social, environmental, and fiscal dumping </w:t>
      </w:r>
      <w:proofErr w:type="gramStart"/>
      <w:r w:rsidRPr="004C7382">
        <w:t>cannot be accepted</w:t>
      </w:r>
      <w:proofErr w:type="gramEnd"/>
      <w:r w:rsidR="005422E7" w:rsidRPr="004C7382">
        <w:t>, be it</w:t>
      </w:r>
      <w:r w:rsidRPr="004C7382">
        <w:t xml:space="preserve"> within the </w:t>
      </w:r>
      <w:r w:rsidR="005422E7" w:rsidRPr="004C7382">
        <w:t xml:space="preserve">EU or </w:t>
      </w:r>
      <w:r w:rsidRPr="004C7382">
        <w:t xml:space="preserve">in our trade relations with external partners; </w:t>
      </w:r>
    </w:p>
    <w:p w14:paraId="6B93C70F" w14:textId="45304366" w:rsidR="008A61FA" w:rsidRPr="004C7382" w:rsidRDefault="008A61FA" w:rsidP="008A61FA">
      <w:pPr>
        <w:pStyle w:val="Normal12Hanging"/>
      </w:pPr>
      <w:r w:rsidRPr="004C7382">
        <w:t>G.</w:t>
      </w:r>
      <w:r w:rsidRPr="004C7382">
        <w:tab/>
        <w:t xml:space="preserve">whereas new models of consumption can </w:t>
      </w:r>
      <w:r w:rsidR="005422E7" w:rsidRPr="004C7382">
        <w:t xml:space="preserve">lead to </w:t>
      </w:r>
      <w:r w:rsidRPr="004C7382">
        <w:t>massive layoffs in the retail sector</w:t>
      </w:r>
      <w:r w:rsidR="005422E7" w:rsidRPr="004C7382">
        <w:t>,</w:t>
      </w:r>
      <w:r w:rsidRPr="004C7382">
        <w:t xml:space="preserve"> as in the case of Carrefour, or in the </w:t>
      </w:r>
      <w:r w:rsidR="00D95E5E" w:rsidRPr="004C7382">
        <w:t xml:space="preserve">field of </w:t>
      </w:r>
      <w:r w:rsidRPr="004C7382">
        <w:t>service</w:t>
      </w:r>
      <w:r w:rsidR="00D95E5E" w:rsidRPr="004C7382">
        <w:t>s</w:t>
      </w:r>
      <w:r w:rsidRPr="004C7382">
        <w:t xml:space="preserve">, as </w:t>
      </w:r>
      <w:r w:rsidR="005422E7" w:rsidRPr="004C7382">
        <w:t xml:space="preserve">in </w:t>
      </w:r>
      <w:r w:rsidRPr="004C7382">
        <w:t xml:space="preserve">the numerous </w:t>
      </w:r>
      <w:r w:rsidR="005422E7" w:rsidRPr="004C7382">
        <w:t xml:space="preserve">redundancies </w:t>
      </w:r>
      <w:r w:rsidRPr="004C7382">
        <w:t xml:space="preserve">announced in the </w:t>
      </w:r>
      <w:r w:rsidR="005422E7" w:rsidRPr="004C7382">
        <w:t>b</w:t>
      </w:r>
      <w:r w:rsidRPr="004C7382">
        <w:t>anking sector;</w:t>
      </w:r>
    </w:p>
    <w:p w14:paraId="1F487094" w14:textId="758E4EF9" w:rsidR="008A61FA" w:rsidRPr="004C7382" w:rsidRDefault="008A61FA" w:rsidP="008A61FA">
      <w:pPr>
        <w:pStyle w:val="Normal12Hanging"/>
      </w:pPr>
      <w:r w:rsidRPr="004C7382">
        <w:t>H.</w:t>
      </w:r>
      <w:r w:rsidRPr="004C7382">
        <w:tab/>
        <w:t xml:space="preserve">whereas </w:t>
      </w:r>
      <w:r w:rsidR="005422E7" w:rsidRPr="004C7382">
        <w:t>c</w:t>
      </w:r>
      <w:r w:rsidRPr="004C7382">
        <w:t>orporate social responsibility (CSR) refers to companies taking responsibility for their impact on society; whereas European enterprises should apply European CSR standards in their organi</w:t>
      </w:r>
      <w:r w:rsidR="005422E7" w:rsidRPr="004C7382">
        <w:t>s</w:t>
      </w:r>
      <w:r w:rsidRPr="004C7382">
        <w:t>ation of work and decision</w:t>
      </w:r>
      <w:r w:rsidR="005422E7" w:rsidRPr="004C7382">
        <w:t>-</w:t>
      </w:r>
      <w:r w:rsidRPr="004C7382">
        <w:t>making process</w:t>
      </w:r>
      <w:r w:rsidR="005422E7" w:rsidRPr="004C7382">
        <w:t>es</w:t>
      </w:r>
      <w:r w:rsidRPr="004C7382">
        <w:t xml:space="preserve">; </w:t>
      </w:r>
    </w:p>
    <w:p w14:paraId="3913A76C" w14:textId="0056ED53" w:rsidR="008A61FA" w:rsidRPr="004C7382" w:rsidRDefault="008A61FA" w:rsidP="008A61FA">
      <w:pPr>
        <w:pStyle w:val="Normal12Hanging"/>
      </w:pPr>
      <w:r w:rsidRPr="004C7382">
        <w:t>I.</w:t>
      </w:r>
      <w:r w:rsidRPr="004C7382">
        <w:tab/>
        <w:t>whereas companies involved in restructuring have a responsibility to put social dialogue at the heart of the restructuring processes and should act in a socially responsible manner, as experience has shown that socially and economically sustainable restructuring is never achieved without sufficient social dialogue focus</w:t>
      </w:r>
      <w:r w:rsidR="005422E7" w:rsidRPr="004C7382">
        <w:t>ed especially</w:t>
      </w:r>
      <w:r w:rsidRPr="004C7382">
        <w:t xml:space="preserve"> on </w:t>
      </w:r>
      <w:r w:rsidR="00D95E5E" w:rsidRPr="004C7382">
        <w:t xml:space="preserve">the </w:t>
      </w:r>
      <w:r w:rsidRPr="004C7382">
        <w:t>information, consultation and participation of workers;</w:t>
      </w:r>
    </w:p>
    <w:p w14:paraId="420AA2EA" w14:textId="5D6C3F31" w:rsidR="008A61FA" w:rsidRPr="004C7382" w:rsidRDefault="008A61FA" w:rsidP="008A61FA">
      <w:pPr>
        <w:pStyle w:val="Normal12Hanging"/>
      </w:pPr>
      <w:r w:rsidRPr="004C7382">
        <w:t>J.</w:t>
      </w:r>
      <w:r w:rsidRPr="004C7382">
        <w:tab/>
      </w:r>
      <w:r w:rsidR="005422E7" w:rsidRPr="004C7382">
        <w:t>w</w:t>
      </w:r>
      <w:r w:rsidRPr="004C7382">
        <w:t xml:space="preserve">hereas constant open and fair dialogue with social partners remains key to </w:t>
      </w:r>
      <w:r w:rsidR="005422E7" w:rsidRPr="004C7382">
        <w:t xml:space="preserve">ensuring smoother </w:t>
      </w:r>
      <w:r w:rsidRPr="004C7382">
        <w:t>production and work transition</w:t>
      </w:r>
      <w:r w:rsidR="005422E7" w:rsidRPr="004C7382">
        <w:t>s</w:t>
      </w:r>
      <w:r w:rsidRPr="004C7382">
        <w:t>, tackl</w:t>
      </w:r>
      <w:r w:rsidR="005422E7" w:rsidRPr="004C7382">
        <w:t>ing</w:t>
      </w:r>
      <w:r w:rsidRPr="004C7382">
        <w:t xml:space="preserve"> mental and physical wellbeing </w:t>
      </w:r>
      <w:r w:rsidR="005422E7" w:rsidRPr="004C7382">
        <w:t xml:space="preserve">in the </w:t>
      </w:r>
      <w:r w:rsidRPr="004C7382">
        <w:t>workplace</w:t>
      </w:r>
      <w:r w:rsidR="005422E7" w:rsidRPr="004C7382">
        <w:t xml:space="preserve"> and </w:t>
      </w:r>
      <w:r w:rsidRPr="004C7382">
        <w:t xml:space="preserve">designing new work relations with employers while respecting </w:t>
      </w:r>
      <w:r w:rsidR="005422E7" w:rsidRPr="004C7382">
        <w:t xml:space="preserve">and enhancing </w:t>
      </w:r>
      <w:r w:rsidRPr="004C7382">
        <w:t>workers</w:t>
      </w:r>
      <w:r w:rsidR="008A3C4D" w:rsidRPr="004C7382">
        <w:t>’</w:t>
      </w:r>
      <w:r w:rsidRPr="004C7382">
        <w:t xml:space="preserve"> rights;</w:t>
      </w:r>
    </w:p>
    <w:p w14:paraId="2D18CC31" w14:textId="45A1EB30" w:rsidR="008A61FA" w:rsidRPr="004C7382" w:rsidRDefault="00814BC6" w:rsidP="008A61FA">
      <w:pPr>
        <w:pStyle w:val="Normal12Hanging"/>
      </w:pPr>
      <w:r w:rsidRPr="004C7382">
        <w:t>1.</w:t>
      </w:r>
      <w:r w:rsidRPr="004C7382">
        <w:tab/>
      </w:r>
      <w:r w:rsidR="008A61FA" w:rsidRPr="004C7382">
        <w:t xml:space="preserve">Express its strong solidarity with workers who are facing closures and </w:t>
      </w:r>
      <w:r w:rsidR="005422E7" w:rsidRPr="004C7382">
        <w:t xml:space="preserve">the imposition of </w:t>
      </w:r>
      <w:r w:rsidR="00E868AC" w:rsidRPr="004C7382">
        <w:t xml:space="preserve">work-related mutations </w:t>
      </w:r>
      <w:r w:rsidR="008A61FA" w:rsidRPr="004C7382">
        <w:t xml:space="preserve">and demands that measures </w:t>
      </w:r>
      <w:proofErr w:type="gramStart"/>
      <w:r w:rsidR="008A61FA" w:rsidRPr="004C7382">
        <w:t>be urgently adopted</w:t>
      </w:r>
      <w:proofErr w:type="gramEnd"/>
      <w:r w:rsidR="008A61FA" w:rsidRPr="004C7382">
        <w:t xml:space="preserve"> to support them; </w:t>
      </w:r>
    </w:p>
    <w:p w14:paraId="2B5E3DD5" w14:textId="0A359BF3" w:rsidR="008A61FA" w:rsidRPr="004C7382" w:rsidRDefault="008A61FA" w:rsidP="008A61FA">
      <w:pPr>
        <w:pStyle w:val="Normal12Hanging"/>
      </w:pPr>
      <w:proofErr w:type="gramStart"/>
      <w:r w:rsidRPr="004C7382">
        <w:t>2.</w:t>
      </w:r>
      <w:r w:rsidRPr="004C7382">
        <w:tab/>
        <w:t xml:space="preserve">Deplores the double negative impact of </w:t>
      </w:r>
      <w:r w:rsidR="005422E7" w:rsidRPr="004C7382">
        <w:t>companies</w:t>
      </w:r>
      <w:r w:rsidR="008A3C4D" w:rsidRPr="004C7382">
        <w:t>’</w:t>
      </w:r>
      <w:r w:rsidR="005422E7" w:rsidRPr="004C7382">
        <w:t xml:space="preserve"> restructuring </w:t>
      </w:r>
      <w:r w:rsidRPr="004C7382">
        <w:t xml:space="preserve">plans, </w:t>
      </w:r>
      <w:r w:rsidR="005422E7" w:rsidRPr="004C7382">
        <w:t xml:space="preserve">namely </w:t>
      </w:r>
      <w:r w:rsidRPr="004C7382">
        <w:t>mass redundancies and waste of public funds; calls on the Member States and the Commission to put in place social obligations with regard to workers</w:t>
      </w:r>
      <w:r w:rsidR="008A3C4D" w:rsidRPr="004C7382">
        <w:t>’</w:t>
      </w:r>
      <w:r w:rsidRPr="004C7382">
        <w:t xml:space="preserve"> rights in the case of restructuring when companies are beneficiaries of public funds</w:t>
      </w:r>
      <w:r w:rsidR="005422E7" w:rsidRPr="004C7382">
        <w:t>,</w:t>
      </w:r>
      <w:r w:rsidRPr="004C7382">
        <w:t xml:space="preserve"> and </w:t>
      </w:r>
      <w:r w:rsidR="005422E7" w:rsidRPr="004C7382">
        <w:t xml:space="preserve">strongly </w:t>
      </w:r>
      <w:r w:rsidRPr="004C7382">
        <w:t>condemns closures</w:t>
      </w:r>
      <w:r w:rsidR="005422E7" w:rsidRPr="004C7382">
        <w:t xml:space="preserve"> and </w:t>
      </w:r>
      <w:r w:rsidRPr="004C7382">
        <w:t xml:space="preserve">restructuring plans </w:t>
      </w:r>
      <w:r w:rsidR="005422E7" w:rsidRPr="004C7382">
        <w:t xml:space="preserve">which leave </w:t>
      </w:r>
      <w:r w:rsidRPr="004C7382">
        <w:t xml:space="preserve">thousands of workers </w:t>
      </w:r>
      <w:r w:rsidR="005422E7" w:rsidRPr="004C7382">
        <w:t xml:space="preserve">jobless </w:t>
      </w:r>
      <w:r w:rsidRPr="004C7382">
        <w:t xml:space="preserve">solely </w:t>
      </w:r>
      <w:r w:rsidR="00D95E5E" w:rsidRPr="004C7382">
        <w:t xml:space="preserve">in order to maximise </w:t>
      </w:r>
      <w:r w:rsidRPr="004C7382">
        <w:t xml:space="preserve">capital revenues; further believes </w:t>
      </w:r>
      <w:r w:rsidR="005422E7" w:rsidRPr="004C7382">
        <w:t xml:space="preserve">that </w:t>
      </w:r>
      <w:r w:rsidRPr="004C7382">
        <w:t>companies should be obliged to return direct and indirect public funding received in the previous</w:t>
      </w:r>
      <w:r w:rsidR="005422E7" w:rsidRPr="004C7382">
        <w:t xml:space="preserve"> two</w:t>
      </w:r>
      <w:r w:rsidRPr="004C7382">
        <w:t xml:space="preserve"> years if they relocate to another country;</w:t>
      </w:r>
      <w:proofErr w:type="gramEnd"/>
      <w:r w:rsidRPr="004C7382">
        <w:t xml:space="preserve"> </w:t>
      </w:r>
    </w:p>
    <w:p w14:paraId="5976D989" w14:textId="75E2035C" w:rsidR="008A61FA" w:rsidRPr="004C7382" w:rsidRDefault="008A61FA" w:rsidP="008A61FA">
      <w:pPr>
        <w:pStyle w:val="Normal12Hanging"/>
      </w:pPr>
      <w:r w:rsidRPr="004C7382">
        <w:t>3.</w:t>
      </w:r>
      <w:r w:rsidRPr="004C7382">
        <w:tab/>
      </w:r>
      <w:proofErr w:type="gramStart"/>
      <w:r w:rsidRPr="004C7382">
        <w:t>Recalls</w:t>
      </w:r>
      <w:proofErr w:type="gramEnd"/>
      <w:r w:rsidRPr="004C7382">
        <w:t xml:space="preserve"> that EU </w:t>
      </w:r>
      <w:r w:rsidR="00D95E5E" w:rsidRPr="004C7382">
        <w:t>S</w:t>
      </w:r>
      <w:r w:rsidRPr="004C7382">
        <w:t xml:space="preserve">tructural </w:t>
      </w:r>
      <w:r w:rsidR="00D95E5E" w:rsidRPr="004C7382">
        <w:t>F</w:t>
      </w:r>
      <w:r w:rsidRPr="004C7382">
        <w:t>unds may not be used in a way that directly or indirectly supports the relocation of services or production to other Member States;</w:t>
      </w:r>
    </w:p>
    <w:p w14:paraId="3F844FB6" w14:textId="2C8C0407" w:rsidR="008A61FA" w:rsidRPr="004C7382" w:rsidRDefault="008A61FA" w:rsidP="008A61FA">
      <w:pPr>
        <w:pStyle w:val="Normal12Hanging"/>
      </w:pPr>
      <w:r w:rsidRPr="004C7382">
        <w:t>4.</w:t>
      </w:r>
      <w:r w:rsidRPr="004C7382">
        <w:tab/>
      </w:r>
      <w:proofErr w:type="gramStart"/>
      <w:r w:rsidRPr="004C7382">
        <w:t>Condemns</w:t>
      </w:r>
      <w:proofErr w:type="gramEnd"/>
      <w:r w:rsidRPr="004C7382">
        <w:t xml:space="preserve"> short</w:t>
      </w:r>
      <w:r w:rsidR="005422E7" w:rsidRPr="004C7382">
        <w:t>-</w:t>
      </w:r>
      <w:r w:rsidRPr="004C7382">
        <w:t>term views prioriti</w:t>
      </w:r>
      <w:r w:rsidR="005422E7" w:rsidRPr="004C7382">
        <w:t>s</w:t>
      </w:r>
      <w:r w:rsidRPr="004C7382">
        <w:t xml:space="preserve">ing capital returns and dividends to shareholders </w:t>
      </w:r>
      <w:r w:rsidR="005422E7" w:rsidRPr="004C7382">
        <w:t xml:space="preserve">at </w:t>
      </w:r>
      <w:r w:rsidRPr="004C7382">
        <w:t>unsustainable levels over investment and responsibilities towards workers and local communities;</w:t>
      </w:r>
    </w:p>
    <w:p w14:paraId="51F2C505" w14:textId="22883879" w:rsidR="008A61FA" w:rsidRPr="004C7382" w:rsidRDefault="008A61FA" w:rsidP="008A61FA">
      <w:pPr>
        <w:pStyle w:val="Normal12Hanging"/>
      </w:pPr>
      <w:r w:rsidRPr="004C7382">
        <w:t>5.</w:t>
      </w:r>
      <w:r w:rsidRPr="004C7382">
        <w:tab/>
      </w:r>
      <w:r w:rsidR="005422E7" w:rsidRPr="004C7382">
        <w:t xml:space="preserve">Rejects </w:t>
      </w:r>
      <w:r w:rsidRPr="004C7382">
        <w:t xml:space="preserve">any </w:t>
      </w:r>
      <w:r w:rsidR="005422E7" w:rsidRPr="004C7382">
        <w:t xml:space="preserve">notion of </w:t>
      </w:r>
      <w:r w:rsidRPr="004C7382">
        <w:t xml:space="preserve">competition between workers </w:t>
      </w:r>
      <w:r w:rsidR="005422E7" w:rsidRPr="004C7382">
        <w:t xml:space="preserve">over </w:t>
      </w:r>
      <w:r w:rsidRPr="004C7382">
        <w:t xml:space="preserve">labour rights </w:t>
      </w:r>
      <w:r w:rsidR="005422E7" w:rsidRPr="004C7382">
        <w:t xml:space="preserve">or </w:t>
      </w:r>
      <w:r w:rsidRPr="004C7382">
        <w:t xml:space="preserve">between enterprises </w:t>
      </w:r>
      <w:r w:rsidR="005422E7" w:rsidRPr="004C7382">
        <w:t xml:space="preserve">in </w:t>
      </w:r>
      <w:r w:rsidRPr="004C7382">
        <w:t xml:space="preserve">social, environmental and fiscal </w:t>
      </w:r>
      <w:r w:rsidR="005422E7" w:rsidRPr="004C7382">
        <w:t xml:space="preserve">matters, </w:t>
      </w:r>
      <w:r w:rsidRPr="004C7382">
        <w:t>and condemns all forms of social and economic dumping</w:t>
      </w:r>
      <w:proofErr w:type="gramStart"/>
      <w:r w:rsidRPr="004C7382">
        <w:t>;</w:t>
      </w:r>
      <w:proofErr w:type="gramEnd"/>
      <w:r w:rsidRPr="004C7382">
        <w:t xml:space="preserve"> </w:t>
      </w:r>
    </w:p>
    <w:p w14:paraId="697D2ABA" w14:textId="0444E93C" w:rsidR="008A61FA" w:rsidRPr="004C7382" w:rsidRDefault="008A61FA" w:rsidP="008A61FA">
      <w:pPr>
        <w:pStyle w:val="Normal12Hanging"/>
      </w:pPr>
      <w:r w:rsidRPr="004C7382">
        <w:t>6.</w:t>
      </w:r>
      <w:r w:rsidRPr="004C7382">
        <w:tab/>
        <w:t xml:space="preserve">Calls for better enforcement of </w:t>
      </w:r>
      <w:r w:rsidR="0019245B" w:rsidRPr="004C7382">
        <w:t>l</w:t>
      </w:r>
      <w:r w:rsidRPr="004C7382">
        <w:t>abour laws within the Member States through labour inspectorates</w:t>
      </w:r>
      <w:r w:rsidR="0019245B" w:rsidRPr="004C7382">
        <w:t xml:space="preserve">, </w:t>
      </w:r>
      <w:r w:rsidRPr="004C7382">
        <w:t xml:space="preserve">and for effective measures to enforce labour laws </w:t>
      </w:r>
      <w:r w:rsidR="0019245B" w:rsidRPr="004C7382">
        <w:t xml:space="preserve">in the context of </w:t>
      </w:r>
      <w:r w:rsidRPr="004C7382">
        <w:t>transnational work patterns</w:t>
      </w:r>
      <w:r w:rsidR="0019245B" w:rsidRPr="004C7382">
        <w:t>,</w:t>
      </w:r>
      <w:r w:rsidRPr="004C7382">
        <w:t xml:space="preserve"> for example </w:t>
      </w:r>
      <w:r w:rsidR="0019245B" w:rsidRPr="004C7382">
        <w:t xml:space="preserve">by creating </w:t>
      </w:r>
      <w:r w:rsidRPr="004C7382">
        <w:t>a European labour inspectors</w:t>
      </w:r>
      <w:r w:rsidR="008A3C4D" w:rsidRPr="004C7382">
        <w:t>’</w:t>
      </w:r>
      <w:r w:rsidRPr="004C7382">
        <w:t xml:space="preserve"> force</w:t>
      </w:r>
      <w:proofErr w:type="gramStart"/>
      <w:r w:rsidRPr="004C7382">
        <w:t>;</w:t>
      </w:r>
      <w:proofErr w:type="gramEnd"/>
    </w:p>
    <w:p w14:paraId="01DD2094" w14:textId="5BC0A10A" w:rsidR="008A61FA" w:rsidRPr="004C7382" w:rsidRDefault="008A61FA" w:rsidP="008A61FA">
      <w:pPr>
        <w:pStyle w:val="Normal12Hanging"/>
      </w:pPr>
      <w:r w:rsidRPr="004C7382">
        <w:t>7.</w:t>
      </w:r>
      <w:r w:rsidRPr="004C7382">
        <w:tab/>
        <w:t>Calls on the Commission to come forward with a European framework for insolvency proceedings that puts not only creditors but also workers at the centre of the process, focusing on preserving as many jobs as possible</w:t>
      </w:r>
      <w:proofErr w:type="gramStart"/>
      <w:r w:rsidRPr="004C7382">
        <w:t>;</w:t>
      </w:r>
      <w:proofErr w:type="gramEnd"/>
    </w:p>
    <w:p w14:paraId="1B377CAC" w14:textId="07EEF280" w:rsidR="008A61FA" w:rsidRPr="004C7382" w:rsidRDefault="008A61FA" w:rsidP="008A61FA">
      <w:pPr>
        <w:pStyle w:val="Normal12Hanging"/>
      </w:pPr>
      <w:r w:rsidRPr="004C7382">
        <w:t>8.</w:t>
      </w:r>
      <w:r w:rsidRPr="004C7382">
        <w:tab/>
        <w:t xml:space="preserve">Calls on the Commission </w:t>
      </w:r>
      <w:r w:rsidR="0019245B" w:rsidRPr="004C7382">
        <w:t xml:space="preserve">to revise </w:t>
      </w:r>
      <w:r w:rsidRPr="004C7382">
        <w:t>competition policy and state aid rules with a view to facilitating public intervention aimed at maintaining social and regional cohesion, improving labour and environmental standards and addressing public health concerns;</w:t>
      </w:r>
    </w:p>
    <w:p w14:paraId="3AB6A116" w14:textId="3E395FB8" w:rsidR="008A61FA" w:rsidRPr="004C7382" w:rsidRDefault="008A61FA" w:rsidP="008A61FA">
      <w:pPr>
        <w:pStyle w:val="Normal12Hanging"/>
      </w:pPr>
      <w:r w:rsidRPr="004C7382">
        <w:t>9.</w:t>
      </w:r>
      <w:r w:rsidRPr="004C7382">
        <w:tab/>
        <w:t>Recalls that the first duty of companies towards society is to pay their taxes</w:t>
      </w:r>
      <w:r w:rsidR="0019245B" w:rsidRPr="004C7382">
        <w:t>;</w:t>
      </w:r>
      <w:r w:rsidRPr="004C7382">
        <w:t xml:space="preserve"> calls </w:t>
      </w:r>
      <w:r w:rsidR="0019245B" w:rsidRPr="004C7382">
        <w:t xml:space="preserve">on </w:t>
      </w:r>
      <w:r w:rsidRPr="004C7382">
        <w:t xml:space="preserve">the </w:t>
      </w:r>
      <w:r w:rsidR="0019245B" w:rsidRPr="004C7382">
        <w:t>C</w:t>
      </w:r>
      <w:r w:rsidRPr="004C7382">
        <w:t xml:space="preserve">ommission and the Member </w:t>
      </w:r>
      <w:r w:rsidR="0019245B" w:rsidRPr="004C7382">
        <w:t>S</w:t>
      </w:r>
      <w:r w:rsidRPr="004C7382">
        <w:t xml:space="preserve">tates </w:t>
      </w:r>
      <w:r w:rsidR="0019245B" w:rsidRPr="004C7382">
        <w:t xml:space="preserve">to undertake </w:t>
      </w:r>
      <w:r w:rsidRPr="004C7382">
        <w:t xml:space="preserve">a comprehensive extension of country-by-country reporting </w:t>
      </w:r>
      <w:r w:rsidR="0019245B" w:rsidRPr="004C7382">
        <w:t xml:space="preserve">and to introduce more stringent </w:t>
      </w:r>
      <w:r w:rsidRPr="004C7382">
        <w:t xml:space="preserve">information obligations for companies </w:t>
      </w:r>
      <w:r w:rsidR="00FC66E9" w:rsidRPr="004C7382">
        <w:t xml:space="preserve">ceasing </w:t>
      </w:r>
      <w:r w:rsidRPr="004C7382">
        <w:t xml:space="preserve">activities or declaring insolvency in Member </w:t>
      </w:r>
      <w:r w:rsidR="0019245B" w:rsidRPr="004C7382">
        <w:t>S</w:t>
      </w:r>
      <w:r w:rsidRPr="004C7382">
        <w:t>tates;</w:t>
      </w:r>
    </w:p>
    <w:p w14:paraId="0B4EA83B" w14:textId="7B8FA00F" w:rsidR="008A61FA" w:rsidRPr="004C7382" w:rsidRDefault="008A61FA" w:rsidP="008A61FA">
      <w:pPr>
        <w:pStyle w:val="Normal12Hanging"/>
      </w:pPr>
      <w:r w:rsidRPr="004C7382">
        <w:t>10.</w:t>
      </w:r>
      <w:r w:rsidRPr="004C7382">
        <w:tab/>
        <w:t xml:space="preserve">Urges Member States to recover all resources dedicated to supporting companies in the form of subsidies, tax </w:t>
      </w:r>
      <w:r w:rsidR="0019245B" w:rsidRPr="004C7382">
        <w:t>breaks</w:t>
      </w:r>
      <w:r w:rsidRPr="004C7382">
        <w:t xml:space="preserve">, land price reductions, </w:t>
      </w:r>
      <w:proofErr w:type="spellStart"/>
      <w:r w:rsidRPr="004C7382">
        <w:t>etc</w:t>
      </w:r>
      <w:proofErr w:type="spellEnd"/>
      <w:r w:rsidRPr="004C7382">
        <w:t xml:space="preserve"> when a company decides to relocate or close its production plants</w:t>
      </w:r>
      <w:r w:rsidR="0019245B" w:rsidRPr="004C7382">
        <w:t>,</w:t>
      </w:r>
      <w:r w:rsidRPr="004C7382">
        <w:t xml:space="preserve"> and to ensure adequate social protection, working conditions and decent wages, through legislation or collective agreements, as well as effective protection against unfair dismissal;</w:t>
      </w:r>
    </w:p>
    <w:p w14:paraId="63988DBD" w14:textId="5FE1FFDC" w:rsidR="008A61FA" w:rsidRPr="004C7382" w:rsidRDefault="008A61FA" w:rsidP="008A61FA">
      <w:pPr>
        <w:pStyle w:val="Normal12Hanging"/>
      </w:pPr>
      <w:r w:rsidRPr="004C7382">
        <w:t>11.</w:t>
      </w:r>
      <w:r w:rsidRPr="004C7382">
        <w:tab/>
        <w:t xml:space="preserve">Calls for </w:t>
      </w:r>
      <w:r w:rsidR="0019245B" w:rsidRPr="004C7382">
        <w:t xml:space="preserve">the strengthening or better </w:t>
      </w:r>
      <w:r w:rsidRPr="004C7382">
        <w:t>implementation of laws on unfair dismissal</w:t>
      </w:r>
      <w:r w:rsidR="0019245B" w:rsidRPr="004C7382">
        <w:t>; stresses</w:t>
      </w:r>
      <w:r w:rsidRPr="004C7382">
        <w:t xml:space="preserve"> that mass</w:t>
      </w:r>
      <w:r w:rsidR="0019245B" w:rsidRPr="004C7382">
        <w:t xml:space="preserve"> </w:t>
      </w:r>
      <w:r w:rsidRPr="004C7382">
        <w:t xml:space="preserve">redundancies on economic </w:t>
      </w:r>
      <w:r w:rsidR="0019245B" w:rsidRPr="004C7382">
        <w:t xml:space="preserve">grounds </w:t>
      </w:r>
      <w:r w:rsidRPr="004C7382">
        <w:t xml:space="preserve">should be prohibited in cases </w:t>
      </w:r>
      <w:r w:rsidR="0019245B" w:rsidRPr="004C7382">
        <w:t xml:space="preserve">where </w:t>
      </w:r>
      <w:r w:rsidRPr="004C7382">
        <w:t xml:space="preserve">the company or corporation is economically </w:t>
      </w:r>
      <w:r w:rsidR="00FC66E9" w:rsidRPr="004C7382">
        <w:t xml:space="preserve">successful </w:t>
      </w:r>
      <w:r w:rsidRPr="004C7382">
        <w:t xml:space="preserve">and/or </w:t>
      </w:r>
      <w:r w:rsidR="0019245B" w:rsidRPr="004C7382">
        <w:t xml:space="preserve">its sole motivation is </w:t>
      </w:r>
      <w:r w:rsidRPr="004C7382">
        <w:t xml:space="preserve">to </w:t>
      </w:r>
      <w:r w:rsidR="0019245B" w:rsidRPr="004C7382">
        <w:t xml:space="preserve">increase </w:t>
      </w:r>
      <w:r w:rsidRPr="004C7382">
        <w:t>profits;</w:t>
      </w:r>
    </w:p>
    <w:p w14:paraId="6E826F3D" w14:textId="2F999430" w:rsidR="008A61FA" w:rsidRPr="004C7382" w:rsidRDefault="008A61FA" w:rsidP="008A61FA">
      <w:pPr>
        <w:pStyle w:val="Normal12Hanging"/>
      </w:pPr>
      <w:r w:rsidRPr="004C7382">
        <w:t>12.</w:t>
      </w:r>
      <w:r w:rsidRPr="004C7382">
        <w:tab/>
        <w:t>Calls on the Member States to establish wage floors in the form of national minimum wages, with due respect for national laws and practices</w:t>
      </w:r>
      <w:r w:rsidR="0019245B" w:rsidRPr="004C7382">
        <w:t>,</w:t>
      </w:r>
      <w:r w:rsidRPr="004C7382">
        <w:t xml:space="preserve"> and to avoid </w:t>
      </w:r>
      <w:r w:rsidR="0019245B" w:rsidRPr="004C7382">
        <w:t xml:space="preserve">wage </w:t>
      </w:r>
      <w:r w:rsidRPr="004C7382">
        <w:t xml:space="preserve">competition </w:t>
      </w:r>
      <w:r w:rsidR="0019245B" w:rsidRPr="004C7382">
        <w:t xml:space="preserve">between </w:t>
      </w:r>
      <w:r w:rsidRPr="004C7382">
        <w:t>Member States;</w:t>
      </w:r>
    </w:p>
    <w:p w14:paraId="1CF2605D" w14:textId="7D3AD5A0" w:rsidR="008A61FA" w:rsidRPr="004C7382" w:rsidRDefault="008A61FA" w:rsidP="008A61FA">
      <w:pPr>
        <w:pStyle w:val="Normal12Hanging"/>
      </w:pPr>
      <w:r w:rsidRPr="004C7382">
        <w:t>13.</w:t>
      </w:r>
      <w:r w:rsidRPr="004C7382">
        <w:tab/>
        <w:t xml:space="preserve">Stresses the fundamental role of CSR in ensuring sustainable economic growth both in the </w:t>
      </w:r>
      <w:r w:rsidR="0019245B" w:rsidRPr="004C7382">
        <w:t xml:space="preserve">EU </w:t>
      </w:r>
      <w:r w:rsidRPr="004C7382">
        <w:t>and around the world; urges the Commission to adopt a new strategy on CSR that establishes stronger reporting and compliance requirements, and urges the Member States to endorse the promotion of CSR;</w:t>
      </w:r>
    </w:p>
    <w:p w14:paraId="1967842A" w14:textId="55225209" w:rsidR="008A61FA" w:rsidRPr="004C7382" w:rsidRDefault="008A61FA" w:rsidP="008A61FA">
      <w:pPr>
        <w:pStyle w:val="Normal12Hanging"/>
      </w:pPr>
      <w:r w:rsidRPr="004C7382">
        <w:t>14.</w:t>
      </w:r>
      <w:r w:rsidRPr="004C7382">
        <w:tab/>
        <w:t xml:space="preserve">Calls on the Commission and the Member States </w:t>
      </w:r>
      <w:r w:rsidR="0019245B" w:rsidRPr="004C7382">
        <w:t xml:space="preserve">to introduce </w:t>
      </w:r>
      <w:r w:rsidRPr="004C7382">
        <w:t>mandatory instruments to compel companies to internalise the social costs of their relocation decisions</w:t>
      </w:r>
      <w:proofErr w:type="gramStart"/>
      <w:r w:rsidRPr="004C7382">
        <w:t>;</w:t>
      </w:r>
      <w:proofErr w:type="gramEnd"/>
    </w:p>
    <w:p w14:paraId="3345F176" w14:textId="456CA0BE" w:rsidR="008A61FA" w:rsidRPr="004C7382" w:rsidRDefault="008A61FA" w:rsidP="008A61FA">
      <w:pPr>
        <w:pStyle w:val="Normal12Hanging"/>
      </w:pPr>
      <w:r w:rsidRPr="004C7382">
        <w:t>15.</w:t>
      </w:r>
      <w:r w:rsidRPr="004C7382">
        <w:tab/>
        <w:t xml:space="preserve">Calls on the Commission </w:t>
      </w:r>
      <w:r w:rsidR="00FC66E9" w:rsidRPr="004C7382">
        <w:t xml:space="preserve">to ensure </w:t>
      </w:r>
      <w:r w:rsidRPr="004C7382">
        <w:t>a new deep and comprehensive European framework encompassing social, environmental</w:t>
      </w:r>
      <w:r w:rsidR="0019245B" w:rsidRPr="004C7382">
        <w:t xml:space="preserve"> and</w:t>
      </w:r>
      <w:r w:rsidRPr="004C7382">
        <w:t xml:space="preserve"> local corporate responsibilities</w:t>
      </w:r>
      <w:r w:rsidR="00FC66E9" w:rsidRPr="004C7382">
        <w:t>,</w:t>
      </w:r>
      <w:r w:rsidRPr="004C7382">
        <w:t xml:space="preserve"> for enterprises operating in the </w:t>
      </w:r>
      <w:r w:rsidR="0019245B" w:rsidRPr="004C7382">
        <w:t xml:space="preserve">EU </w:t>
      </w:r>
      <w:r w:rsidRPr="004C7382">
        <w:t xml:space="preserve">and for </w:t>
      </w:r>
      <w:r w:rsidR="0019245B" w:rsidRPr="004C7382">
        <w:t xml:space="preserve">Union </w:t>
      </w:r>
      <w:r w:rsidRPr="004C7382">
        <w:t xml:space="preserve">entities operating outside </w:t>
      </w:r>
      <w:r w:rsidR="0019245B" w:rsidRPr="004C7382">
        <w:t>it</w:t>
      </w:r>
      <w:proofErr w:type="gramStart"/>
      <w:r w:rsidRPr="004C7382">
        <w:t>;</w:t>
      </w:r>
      <w:proofErr w:type="gramEnd"/>
    </w:p>
    <w:p w14:paraId="1D4D0A2B" w14:textId="0F0D7767" w:rsidR="008A61FA" w:rsidRPr="004C7382" w:rsidRDefault="008A61FA" w:rsidP="008A61FA">
      <w:pPr>
        <w:pStyle w:val="Normal12Hanging"/>
      </w:pPr>
      <w:r w:rsidRPr="004C7382">
        <w:t>16.</w:t>
      </w:r>
      <w:r w:rsidRPr="004C7382">
        <w:tab/>
        <w:t xml:space="preserve">Stresses </w:t>
      </w:r>
      <w:proofErr w:type="gramStart"/>
      <w:r w:rsidRPr="004C7382">
        <w:t>that EU standards</w:t>
      </w:r>
      <w:proofErr w:type="gramEnd"/>
      <w:r w:rsidRPr="004C7382">
        <w:t xml:space="preserve"> of </w:t>
      </w:r>
      <w:r w:rsidR="0019245B" w:rsidRPr="004C7382">
        <w:t xml:space="preserve">CSR </w:t>
      </w:r>
      <w:r w:rsidRPr="004C7382">
        <w:t xml:space="preserve">cannot be </w:t>
      </w:r>
      <w:r w:rsidR="0019245B" w:rsidRPr="004C7382">
        <w:t xml:space="preserve">met </w:t>
      </w:r>
      <w:r w:rsidRPr="004C7382">
        <w:t xml:space="preserve">when a company </w:t>
      </w:r>
      <w:r w:rsidR="0019245B" w:rsidRPr="004C7382">
        <w:t xml:space="preserve">relocates </w:t>
      </w:r>
      <w:r w:rsidRPr="004C7382">
        <w:t xml:space="preserve">its production without heeding the social consequences of its economic decisions; </w:t>
      </w:r>
      <w:r w:rsidR="00E868AC" w:rsidRPr="004C7382">
        <w:t xml:space="preserve">calls for mandatory instruments to compel companies to internalise the social costs of their relocation decisions; </w:t>
      </w:r>
    </w:p>
    <w:p w14:paraId="2F8BE658" w14:textId="525AEE06" w:rsidR="008A61FA" w:rsidRPr="004C7382" w:rsidRDefault="008A61FA" w:rsidP="008A61FA">
      <w:pPr>
        <w:pStyle w:val="Normal12Hanging"/>
      </w:pPr>
      <w:proofErr w:type="gramStart"/>
      <w:r w:rsidRPr="004C7382">
        <w:t>17.</w:t>
      </w:r>
      <w:r w:rsidRPr="004C7382">
        <w:tab/>
        <w:t xml:space="preserve">Points </w:t>
      </w:r>
      <w:r w:rsidR="0019245B" w:rsidRPr="004C7382">
        <w:t xml:space="preserve">out </w:t>
      </w:r>
      <w:r w:rsidRPr="004C7382">
        <w:t xml:space="preserve">the need to </w:t>
      </w:r>
      <w:r w:rsidR="0019245B" w:rsidRPr="004C7382">
        <w:t xml:space="preserve">extend the scope of </w:t>
      </w:r>
      <w:r w:rsidRPr="004C7382">
        <w:t xml:space="preserve">CSR </w:t>
      </w:r>
      <w:r w:rsidR="0019245B" w:rsidRPr="004C7382">
        <w:t xml:space="preserve">to include </w:t>
      </w:r>
      <w:r w:rsidRPr="004C7382">
        <w:t xml:space="preserve">new areas such as the organisation of work, equal opportunities and social inclusion, anti-discrimination measures, and the development of lifelong education and training; emphasises that CSR should cover, for example, quality of work, equal pay, gender equality, career prospects and the promotion of innovative projects </w:t>
      </w:r>
      <w:r w:rsidR="0019245B" w:rsidRPr="004C7382">
        <w:t xml:space="preserve">supporting </w:t>
      </w:r>
      <w:r w:rsidRPr="004C7382">
        <w:t>the shift towards a sustainable economy;</w:t>
      </w:r>
      <w:proofErr w:type="gramEnd"/>
    </w:p>
    <w:p w14:paraId="251085D4" w14:textId="3CBD3D53" w:rsidR="008A61FA" w:rsidRPr="004C7382" w:rsidRDefault="008A61FA" w:rsidP="008A61FA">
      <w:pPr>
        <w:pStyle w:val="Normal12Hanging"/>
      </w:pPr>
      <w:r w:rsidRPr="004C7382">
        <w:t>18.</w:t>
      </w:r>
      <w:r w:rsidRPr="004C7382">
        <w:tab/>
        <w:t xml:space="preserve">Recalls that the potential aid granted by the European Globalisation Adjustment Fund </w:t>
      </w:r>
      <w:r w:rsidR="0019245B" w:rsidRPr="004C7382">
        <w:t xml:space="preserve">(EGF) </w:t>
      </w:r>
      <w:proofErr w:type="gramStart"/>
      <w:r w:rsidRPr="004C7382">
        <w:t>cannot be used</w:t>
      </w:r>
      <w:proofErr w:type="gramEnd"/>
      <w:r w:rsidRPr="004C7382">
        <w:t xml:space="preserve"> to facilitate workers</w:t>
      </w:r>
      <w:r w:rsidR="008A3C4D" w:rsidRPr="004C7382">
        <w:t>’</w:t>
      </w:r>
      <w:r w:rsidRPr="004C7382">
        <w:t xml:space="preserve"> departure, and insists that </w:t>
      </w:r>
      <w:r w:rsidR="0019245B" w:rsidRPr="004C7382">
        <w:t>this f</w:t>
      </w:r>
      <w:r w:rsidRPr="004C7382">
        <w:t xml:space="preserve">und be used to help workers </w:t>
      </w:r>
      <w:r w:rsidR="0019245B" w:rsidRPr="004C7382">
        <w:t xml:space="preserve">keep their </w:t>
      </w:r>
      <w:r w:rsidRPr="004C7382">
        <w:t>jobs;</w:t>
      </w:r>
    </w:p>
    <w:p w14:paraId="05EAD0EA" w14:textId="601295D3" w:rsidR="008A61FA" w:rsidRPr="004C7382" w:rsidRDefault="008A61FA" w:rsidP="008A61FA">
      <w:pPr>
        <w:pStyle w:val="Normal12Hanging"/>
      </w:pPr>
      <w:r w:rsidRPr="004C7382">
        <w:t>19.</w:t>
      </w:r>
      <w:r w:rsidRPr="004C7382">
        <w:tab/>
        <w:t xml:space="preserve">Calls </w:t>
      </w:r>
      <w:r w:rsidR="0019245B" w:rsidRPr="004C7382">
        <w:t xml:space="preserve">for </w:t>
      </w:r>
      <w:r w:rsidRPr="004C7382">
        <w:t xml:space="preserve">the EU and </w:t>
      </w:r>
      <w:r w:rsidR="0019245B" w:rsidRPr="004C7382">
        <w:t xml:space="preserve">the </w:t>
      </w:r>
      <w:r w:rsidRPr="004C7382">
        <w:t xml:space="preserve">Member States to ensure that adequate funding is available for training and recovery actions to </w:t>
      </w:r>
      <w:r w:rsidR="00D95E5E" w:rsidRPr="004C7382">
        <w:t xml:space="preserve">facilitate </w:t>
      </w:r>
      <w:r w:rsidRPr="004C7382">
        <w:t>critical transition periods in European industries</w:t>
      </w:r>
      <w:r w:rsidR="0019245B" w:rsidRPr="004C7382">
        <w:t>,</w:t>
      </w:r>
      <w:r w:rsidRPr="004C7382">
        <w:t xml:space="preserve"> and insists that the </w:t>
      </w:r>
      <w:r w:rsidR="0019245B" w:rsidRPr="004C7382">
        <w:t xml:space="preserve">EGF must </w:t>
      </w:r>
      <w:r w:rsidRPr="004C7382">
        <w:t xml:space="preserve">be used to help workers </w:t>
      </w:r>
      <w:r w:rsidR="00D95E5E" w:rsidRPr="004C7382">
        <w:t xml:space="preserve">take over </w:t>
      </w:r>
      <w:r w:rsidRPr="004C7382">
        <w:t xml:space="preserve">their factories in order to </w:t>
      </w:r>
      <w:r w:rsidR="00D95E5E" w:rsidRPr="004C7382">
        <w:t xml:space="preserve">preserve </w:t>
      </w:r>
      <w:r w:rsidRPr="004C7382">
        <w:t>jobs</w:t>
      </w:r>
      <w:r w:rsidR="00D95E5E" w:rsidRPr="004C7382">
        <w:t>,</w:t>
      </w:r>
      <w:r w:rsidRPr="004C7382">
        <w:t xml:space="preserve"> </w:t>
      </w:r>
      <w:r w:rsidR="00D95E5E" w:rsidRPr="004C7382">
        <w:t xml:space="preserve">rather than to </w:t>
      </w:r>
      <w:r w:rsidRPr="004C7382">
        <w:t>facilitat</w:t>
      </w:r>
      <w:r w:rsidR="00D95E5E" w:rsidRPr="004C7382">
        <w:t>e</w:t>
      </w:r>
      <w:r w:rsidRPr="004C7382">
        <w:t xml:space="preserve"> site closures;</w:t>
      </w:r>
    </w:p>
    <w:p w14:paraId="1C5D4BA5" w14:textId="49482785" w:rsidR="008A61FA" w:rsidRPr="004C7382" w:rsidRDefault="008A61FA" w:rsidP="008A61FA">
      <w:pPr>
        <w:pStyle w:val="Normal12Hanging"/>
      </w:pPr>
      <w:r w:rsidRPr="004C7382">
        <w:t>20.</w:t>
      </w:r>
      <w:r w:rsidRPr="004C7382">
        <w:tab/>
        <w:t xml:space="preserve">Calls for the transformation of the </w:t>
      </w:r>
      <w:r w:rsidR="00D95E5E" w:rsidRPr="004C7382">
        <w:t xml:space="preserve">EGF </w:t>
      </w:r>
      <w:r w:rsidRPr="004C7382">
        <w:t>in</w:t>
      </w:r>
      <w:r w:rsidR="00D95E5E" w:rsidRPr="004C7382">
        <w:t>to</w:t>
      </w:r>
      <w:r w:rsidRPr="004C7382">
        <w:t xml:space="preserve"> a European Globalisation and Digitali</w:t>
      </w:r>
      <w:r w:rsidR="00E868AC" w:rsidRPr="004C7382">
        <w:t>s</w:t>
      </w:r>
      <w:r w:rsidRPr="004C7382">
        <w:t xml:space="preserve">ation Adjustment Fund offering </w:t>
      </w:r>
      <w:r w:rsidR="00D95E5E" w:rsidRPr="004C7382">
        <w:t>anticipatory training</w:t>
      </w:r>
      <w:r w:rsidRPr="004C7382">
        <w:t xml:space="preserve">, retraining courses and tailored services to workers who </w:t>
      </w:r>
      <w:r w:rsidR="00D95E5E" w:rsidRPr="004C7382">
        <w:t xml:space="preserve">have lost or could lose </w:t>
      </w:r>
      <w:r w:rsidRPr="004C7382">
        <w:t xml:space="preserve">their </w:t>
      </w:r>
      <w:r w:rsidR="00D95E5E" w:rsidRPr="004C7382">
        <w:t xml:space="preserve">jobs owing </w:t>
      </w:r>
      <w:r w:rsidRPr="004C7382">
        <w:t>to workplace</w:t>
      </w:r>
      <w:r w:rsidR="00D95E5E" w:rsidRPr="004C7382">
        <w:t xml:space="preserve"> </w:t>
      </w:r>
      <w:r w:rsidR="00E868AC" w:rsidRPr="004C7382">
        <w:t>mutations</w:t>
      </w:r>
      <w:r w:rsidRPr="004C7382">
        <w:t>;</w:t>
      </w:r>
    </w:p>
    <w:p w14:paraId="422BB9FB" w14:textId="1D29D3B5" w:rsidR="008A61FA" w:rsidRPr="004C7382" w:rsidRDefault="008A61FA" w:rsidP="008A61FA">
      <w:pPr>
        <w:pStyle w:val="Normal12Hanging"/>
      </w:pPr>
      <w:r w:rsidRPr="004C7382">
        <w:t>21.</w:t>
      </w:r>
      <w:r w:rsidRPr="004C7382">
        <w:tab/>
        <w:t xml:space="preserve">Calls on the </w:t>
      </w:r>
      <w:r w:rsidR="00D95E5E" w:rsidRPr="004C7382">
        <w:t>C</w:t>
      </w:r>
      <w:r w:rsidRPr="004C7382">
        <w:t xml:space="preserve">ommission </w:t>
      </w:r>
      <w:r w:rsidR="00D95E5E" w:rsidRPr="004C7382">
        <w:t xml:space="preserve">to create </w:t>
      </w:r>
      <w:r w:rsidRPr="004C7382">
        <w:t>a European fund for social and environmental development, investing, thanks to bond emissions and ECB credit</w:t>
      </w:r>
      <w:r w:rsidR="00D95E5E" w:rsidRPr="004C7382">
        <w:t xml:space="preserve"> </w:t>
      </w:r>
      <w:r w:rsidRPr="004C7382">
        <w:t>support, in the transformation of production tools and workers</w:t>
      </w:r>
      <w:r w:rsidR="008A3C4D" w:rsidRPr="004C7382">
        <w:t>’</w:t>
      </w:r>
      <w:r w:rsidRPr="004C7382">
        <w:t xml:space="preserve"> skills </w:t>
      </w:r>
      <w:r w:rsidR="00D95E5E" w:rsidRPr="004C7382">
        <w:t xml:space="preserve">at European level </w:t>
      </w:r>
      <w:r w:rsidRPr="004C7382">
        <w:t xml:space="preserve">in order to embrace production and work changes and make them sources of social and environmental progress; </w:t>
      </w:r>
    </w:p>
    <w:p w14:paraId="228A9F23" w14:textId="49E31638" w:rsidR="008A61FA" w:rsidRPr="004C7382" w:rsidRDefault="008A61FA" w:rsidP="008A61FA">
      <w:pPr>
        <w:pStyle w:val="Normal12Hanging"/>
      </w:pPr>
      <w:r w:rsidRPr="004C7382">
        <w:t>22.</w:t>
      </w:r>
      <w:r w:rsidRPr="004C7382">
        <w:tab/>
        <w:t xml:space="preserve">Calls on the Commission to withdraw allocations from </w:t>
      </w:r>
      <w:r w:rsidR="00D95E5E" w:rsidRPr="004C7382">
        <w:t xml:space="preserve">the </w:t>
      </w:r>
      <w:r w:rsidRPr="004C7382">
        <w:t xml:space="preserve">Structural </w:t>
      </w:r>
      <w:r w:rsidR="00D95E5E" w:rsidRPr="004C7382">
        <w:t>F</w:t>
      </w:r>
      <w:r w:rsidRPr="004C7382">
        <w:t xml:space="preserve">unds if </w:t>
      </w:r>
      <w:r w:rsidR="00D95E5E" w:rsidRPr="004C7382">
        <w:t xml:space="preserve">they </w:t>
      </w:r>
      <w:proofErr w:type="gramStart"/>
      <w:r w:rsidR="00D95E5E" w:rsidRPr="004C7382">
        <w:t xml:space="preserve">are </w:t>
      </w:r>
      <w:r w:rsidRPr="004C7382">
        <w:t>used</w:t>
      </w:r>
      <w:proofErr w:type="gramEnd"/>
      <w:r w:rsidRPr="004C7382">
        <w:t xml:space="preserve"> by a Member State in a distorted </w:t>
      </w:r>
      <w:r w:rsidR="00D95E5E" w:rsidRPr="004C7382">
        <w:t xml:space="preserve">and </w:t>
      </w:r>
      <w:r w:rsidRPr="004C7382">
        <w:t xml:space="preserve">illegitimate way to allow </w:t>
      </w:r>
      <w:r w:rsidR="00D95E5E" w:rsidRPr="004C7382">
        <w:t xml:space="preserve">or extend </w:t>
      </w:r>
      <w:r w:rsidRPr="004C7382">
        <w:t>social du</w:t>
      </w:r>
      <w:r w:rsidR="00D95E5E" w:rsidRPr="004C7382">
        <w:t>mp</w:t>
      </w:r>
      <w:r w:rsidRPr="004C7382">
        <w:t xml:space="preserve">ing </w:t>
      </w:r>
      <w:r w:rsidR="00D95E5E" w:rsidRPr="004C7382">
        <w:t>at national level</w:t>
      </w:r>
      <w:r w:rsidRPr="004C7382">
        <w:t>;</w:t>
      </w:r>
    </w:p>
    <w:p w14:paraId="3B07CA19" w14:textId="2E755E25" w:rsidR="008A61FA" w:rsidRPr="004C7382" w:rsidRDefault="008A61FA" w:rsidP="008A61FA">
      <w:pPr>
        <w:pStyle w:val="Normal12Hanging"/>
      </w:pPr>
      <w:r w:rsidRPr="004C7382">
        <w:t>23.</w:t>
      </w:r>
      <w:r w:rsidRPr="004C7382">
        <w:tab/>
      </w:r>
      <w:r w:rsidR="00D95E5E" w:rsidRPr="004C7382">
        <w:t xml:space="preserve">Calls </w:t>
      </w:r>
      <w:r w:rsidRPr="004C7382">
        <w:t xml:space="preserve">for both the EU and </w:t>
      </w:r>
      <w:r w:rsidR="00D95E5E" w:rsidRPr="004C7382">
        <w:t xml:space="preserve">the </w:t>
      </w:r>
      <w:r w:rsidRPr="004C7382">
        <w:t>Member States:</w:t>
      </w:r>
    </w:p>
    <w:p w14:paraId="34E0E664" w14:textId="17FB1E66" w:rsidR="008A61FA" w:rsidRPr="004C7382" w:rsidRDefault="008A61FA" w:rsidP="008A61FA">
      <w:pPr>
        <w:pStyle w:val="Normal12Hanging"/>
        <w:spacing w:after="120"/>
        <w:ind w:left="1134"/>
      </w:pPr>
      <w:r w:rsidRPr="004C7382">
        <w:t>•</w:t>
      </w:r>
      <w:r w:rsidRPr="004C7382">
        <w:tab/>
        <w:t xml:space="preserve">to </w:t>
      </w:r>
      <w:r w:rsidR="00D95E5E" w:rsidRPr="004C7382">
        <w:t xml:space="preserve">preserve </w:t>
      </w:r>
      <w:r w:rsidRPr="004C7382">
        <w:t xml:space="preserve">jobs by avoiding </w:t>
      </w:r>
      <w:r w:rsidR="00D95E5E" w:rsidRPr="004C7382">
        <w:t xml:space="preserve">unjustified </w:t>
      </w:r>
      <w:r w:rsidRPr="004C7382">
        <w:t>dismissal</w:t>
      </w:r>
      <w:r w:rsidR="00D95E5E" w:rsidRPr="004C7382">
        <w:t>s</w:t>
      </w:r>
      <w:r w:rsidRPr="004C7382">
        <w:t xml:space="preserve"> and by optimi</w:t>
      </w:r>
      <w:r w:rsidR="00D95E5E" w:rsidRPr="004C7382">
        <w:t>s</w:t>
      </w:r>
      <w:r w:rsidRPr="004C7382">
        <w:t>ing existing high level</w:t>
      </w:r>
      <w:r w:rsidR="00D95E5E" w:rsidRPr="004C7382">
        <w:t>s of</w:t>
      </w:r>
      <w:r w:rsidRPr="004C7382">
        <w:t xml:space="preserve"> professional skills </w:t>
      </w:r>
      <w:r w:rsidR="00D95E5E" w:rsidRPr="004C7382">
        <w:t xml:space="preserve">while </w:t>
      </w:r>
      <w:r w:rsidRPr="004C7382">
        <w:t>limiting shareholders</w:t>
      </w:r>
      <w:r w:rsidR="008A3C4D" w:rsidRPr="004C7382">
        <w:t>’</w:t>
      </w:r>
      <w:r w:rsidRPr="004C7382">
        <w:t xml:space="preserve"> dividends;</w:t>
      </w:r>
    </w:p>
    <w:p w14:paraId="32F364D8" w14:textId="1F891775" w:rsidR="008A61FA" w:rsidRPr="004C7382" w:rsidRDefault="008A61FA" w:rsidP="008A61FA">
      <w:pPr>
        <w:pStyle w:val="Normal12Hanging"/>
        <w:spacing w:after="120"/>
        <w:ind w:left="1134"/>
      </w:pPr>
      <w:r w:rsidRPr="004C7382">
        <w:t>•</w:t>
      </w:r>
      <w:r w:rsidRPr="004C7382">
        <w:tab/>
      </w:r>
      <w:proofErr w:type="gramStart"/>
      <w:r w:rsidRPr="004C7382">
        <w:t>to</w:t>
      </w:r>
      <w:proofErr w:type="gramEnd"/>
      <w:r w:rsidRPr="004C7382">
        <w:t xml:space="preserve"> ensure transparency in financial transfers from </w:t>
      </w:r>
      <w:r w:rsidR="00D95E5E" w:rsidRPr="004C7382">
        <w:t xml:space="preserve">a </w:t>
      </w:r>
      <w:r w:rsidRPr="004C7382">
        <w:t xml:space="preserve">European </w:t>
      </w:r>
      <w:r w:rsidR="00D95E5E" w:rsidRPr="004C7382">
        <w:t xml:space="preserve">subsidiary </w:t>
      </w:r>
      <w:r w:rsidRPr="004C7382">
        <w:t xml:space="preserve">to </w:t>
      </w:r>
      <w:r w:rsidR="00D95E5E" w:rsidRPr="004C7382">
        <w:t xml:space="preserve">a US </w:t>
      </w:r>
      <w:r w:rsidRPr="004C7382">
        <w:t xml:space="preserve">parent company or </w:t>
      </w:r>
      <w:r w:rsidR="00D95E5E" w:rsidRPr="004C7382">
        <w:t xml:space="preserve">to </w:t>
      </w:r>
      <w:r w:rsidRPr="004C7382">
        <w:t>tax havens;</w:t>
      </w:r>
    </w:p>
    <w:p w14:paraId="3E707621" w14:textId="6955B938" w:rsidR="008A61FA" w:rsidRPr="004C7382" w:rsidRDefault="008A61FA" w:rsidP="008A61FA">
      <w:pPr>
        <w:pStyle w:val="Normal12Hanging"/>
        <w:spacing w:after="120"/>
        <w:ind w:left="1134"/>
      </w:pPr>
      <w:r w:rsidRPr="004C7382">
        <w:t>•</w:t>
      </w:r>
      <w:r w:rsidRPr="004C7382">
        <w:tab/>
      </w:r>
      <w:proofErr w:type="gramStart"/>
      <w:r w:rsidRPr="004C7382">
        <w:t>to</w:t>
      </w:r>
      <w:proofErr w:type="gramEnd"/>
      <w:r w:rsidRPr="004C7382">
        <w:t xml:space="preserve"> implement sanctions against companies if they persist in their restructuring plan</w:t>
      </w:r>
      <w:r w:rsidR="00D95E5E" w:rsidRPr="004C7382">
        <w:t>s</w:t>
      </w:r>
      <w:r w:rsidRPr="004C7382">
        <w:t>;</w:t>
      </w:r>
    </w:p>
    <w:p w14:paraId="7B70AAA6" w14:textId="5AE9732A" w:rsidR="008A61FA" w:rsidRPr="004C7382" w:rsidRDefault="008A61FA" w:rsidP="008A61FA">
      <w:pPr>
        <w:pStyle w:val="Normal12Hanging"/>
      </w:pPr>
      <w:proofErr w:type="gramStart"/>
      <w:r w:rsidRPr="004C7382">
        <w:t>24.</w:t>
      </w:r>
      <w:r w:rsidRPr="004C7382">
        <w:tab/>
        <w:t xml:space="preserve">Issues a strong call to the EU and the Member States to push </w:t>
      </w:r>
      <w:r w:rsidR="00D95E5E" w:rsidRPr="004C7382">
        <w:t xml:space="preserve">for </w:t>
      </w:r>
      <w:r w:rsidRPr="004C7382">
        <w:t xml:space="preserve">an agreement on the binding </w:t>
      </w:r>
      <w:r w:rsidR="00D95E5E" w:rsidRPr="004C7382">
        <w:t xml:space="preserve">UN </w:t>
      </w:r>
      <w:r w:rsidRPr="004C7382">
        <w:t>treaty on transnational corporations which is currently being discussed in the UN Human Rights Council, in order properly to address abuses by transnational companies; calls in this connection for economic, social and cultural rights to be incorporated into the scope of this agreement;</w:t>
      </w:r>
      <w:proofErr w:type="gramEnd"/>
      <w:r w:rsidR="00D95E5E" w:rsidRPr="004C7382">
        <w:t xml:space="preserve"> </w:t>
      </w:r>
    </w:p>
    <w:p w14:paraId="2C4F9A44" w14:textId="77777777" w:rsidR="008A61FA" w:rsidRPr="004C7382" w:rsidRDefault="008A61FA" w:rsidP="002531D6">
      <w:pPr>
        <w:pStyle w:val="Normal12Hanging"/>
        <w:keepLines/>
      </w:pPr>
      <w:r w:rsidRPr="004C7382">
        <w:t>25.</w:t>
      </w:r>
      <w:r w:rsidRPr="004C7382">
        <w:tab/>
        <w:t xml:space="preserve">Underlines the role of the social partners in the development of a coherent industrial strategy, which must incorporate a social dimension </w:t>
      </w:r>
      <w:r w:rsidR="00D95E5E" w:rsidRPr="004C7382">
        <w:t xml:space="preserve">in order </w:t>
      </w:r>
      <w:r w:rsidRPr="004C7382">
        <w:t>to ensure that labour rights are not undermined by the current industrial transition;</w:t>
      </w:r>
    </w:p>
    <w:p w14:paraId="04DDF534" w14:textId="48F4063F" w:rsidR="00814BC6" w:rsidRPr="004C7382" w:rsidRDefault="008A61FA" w:rsidP="008A61FA">
      <w:pPr>
        <w:pStyle w:val="Normal12Hanging"/>
      </w:pPr>
      <w:r w:rsidRPr="004C7382">
        <w:t>26.</w:t>
      </w:r>
      <w:r w:rsidRPr="004C7382">
        <w:tab/>
        <w:t>Instructs its President to forward this resolution to the Council, the Commission</w:t>
      </w:r>
      <w:r w:rsidR="00D95E5E" w:rsidRPr="004C7382">
        <w:t>,</w:t>
      </w:r>
      <w:r w:rsidRPr="004C7382">
        <w:t xml:space="preserve"> and the governments and parliaments of the Member States.</w:t>
      </w:r>
    </w:p>
    <w:sectPr w:rsidR="00814BC6" w:rsidRPr="004C7382" w:rsidSect="0070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5C858" w14:textId="77777777" w:rsidR="00D95E5E" w:rsidRPr="00935675" w:rsidRDefault="00D95E5E">
      <w:r w:rsidRPr="00935675">
        <w:separator/>
      </w:r>
    </w:p>
  </w:endnote>
  <w:endnote w:type="continuationSeparator" w:id="0">
    <w:p w14:paraId="61C820B6" w14:textId="77777777" w:rsidR="00D95E5E" w:rsidRPr="00935675" w:rsidRDefault="00D95E5E">
      <w:r w:rsidRPr="009356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4571" w14:textId="3648F30F" w:rsidR="00D95E5E" w:rsidRPr="00F11054" w:rsidRDefault="00D95E5E">
    <w:pPr>
      <w:pStyle w:val="Footer"/>
      <w:tabs>
        <w:tab w:val="right" w:pos="9356"/>
      </w:tabs>
      <w:rPr>
        <w:lang w:val="fr-FR"/>
      </w:rPr>
    </w:pPr>
    <w:r w:rsidRPr="00935675">
      <w:fldChar w:fldCharType="begin"/>
    </w:r>
    <w:r w:rsidRPr="00F11054">
      <w:rPr>
        <w:lang w:val="fr-FR"/>
      </w:rPr>
      <w:instrText xml:space="preserve"> REF OutsideFooter </w:instrText>
    </w:r>
    <w:r w:rsidRPr="00935675">
      <w:fldChar w:fldCharType="separate"/>
    </w:r>
    <w:r w:rsidR="008A3C4D" w:rsidRPr="00F11054">
      <w:rPr>
        <w:lang w:val="fr-FR"/>
      </w:rPr>
      <w:t>PE</w:t>
    </w:r>
    <w:r w:rsidR="008A3C4D" w:rsidRPr="00F11054">
      <w:rPr>
        <w:rStyle w:val="HideTWBExt"/>
        <w:noProof w:val="0"/>
        <w:lang w:val="fr-FR"/>
      </w:rPr>
      <w:t>&lt;</w:t>
    </w:r>
    <w:proofErr w:type="spellStart"/>
    <w:r w:rsidR="008A3C4D" w:rsidRPr="00F11054">
      <w:rPr>
        <w:rStyle w:val="HideTWBExt"/>
        <w:noProof w:val="0"/>
        <w:lang w:val="fr-FR"/>
      </w:rPr>
      <w:t>NoPE</w:t>
    </w:r>
    <w:proofErr w:type="spellEnd"/>
    <w:r w:rsidR="008A3C4D" w:rsidRPr="00F11054">
      <w:rPr>
        <w:rStyle w:val="HideTWBExt"/>
        <w:noProof w:val="0"/>
        <w:lang w:val="fr-FR"/>
      </w:rPr>
      <w:t>&gt;</w:t>
    </w:r>
    <w:r w:rsidR="008A3C4D" w:rsidRPr="00F11054">
      <w:rPr>
        <w:lang w:val="fr-FR"/>
      </w:rPr>
      <w:t>616.104</w:t>
    </w:r>
    <w:r w:rsidR="008A3C4D" w:rsidRPr="00F11054">
      <w:rPr>
        <w:rStyle w:val="HideTWBExt"/>
        <w:noProof w:val="0"/>
        <w:lang w:val="fr-FR"/>
      </w:rPr>
      <w:t>&lt;/</w:t>
    </w:r>
    <w:proofErr w:type="spellStart"/>
    <w:r w:rsidR="008A3C4D" w:rsidRPr="00F11054">
      <w:rPr>
        <w:rStyle w:val="HideTWBExt"/>
        <w:noProof w:val="0"/>
        <w:lang w:val="fr-FR"/>
      </w:rPr>
      <w:t>NoPE</w:t>
    </w:r>
    <w:proofErr w:type="spellEnd"/>
    <w:r w:rsidR="008A3C4D" w:rsidRPr="00F11054">
      <w:rPr>
        <w:rStyle w:val="HideTWBExt"/>
        <w:noProof w:val="0"/>
        <w:lang w:val="fr-FR"/>
      </w:rPr>
      <w:t>&gt;&lt;Version&gt;</w:t>
    </w:r>
    <w:r w:rsidR="008A3C4D" w:rsidRPr="00F11054">
      <w:rPr>
        <w:lang w:val="fr-FR"/>
      </w:rPr>
      <w:t>v01-00</w:t>
    </w:r>
    <w:r w:rsidR="008A3C4D" w:rsidRPr="00F11054">
      <w:rPr>
        <w:rStyle w:val="HideTWBExt"/>
        <w:noProof w:val="0"/>
        <w:lang w:val="fr-FR"/>
      </w:rPr>
      <w:t>&lt;/Version&gt;</w:t>
    </w:r>
    <w:r w:rsidRPr="00935675">
      <w:fldChar w:fldCharType="end"/>
    </w:r>
    <w:r w:rsidRPr="00F11054">
      <w:rPr>
        <w:lang w:val="fr-FR"/>
      </w:rPr>
      <w:tab/>
    </w:r>
    <w:r w:rsidRPr="00935675">
      <w:fldChar w:fldCharType="begin"/>
    </w:r>
    <w:r w:rsidRPr="00F11054">
      <w:rPr>
        <w:lang w:val="fr-FR"/>
      </w:rPr>
      <w:instrText xml:space="preserve"> PAGE </w:instrText>
    </w:r>
    <w:r w:rsidRPr="00935675">
      <w:fldChar w:fldCharType="separate"/>
    </w:r>
    <w:r w:rsidR="00F320B4">
      <w:rPr>
        <w:noProof/>
        <w:lang w:val="fr-FR"/>
      </w:rPr>
      <w:t>4</w:t>
    </w:r>
    <w:r w:rsidRPr="00935675">
      <w:fldChar w:fldCharType="end"/>
    </w:r>
    <w:r w:rsidRPr="00F11054">
      <w:rPr>
        <w:lang w:val="fr-FR"/>
      </w:rPr>
      <w:t>/</w:t>
    </w:r>
    <w:r w:rsidRPr="00935675">
      <w:fldChar w:fldCharType="begin"/>
    </w:r>
    <w:r w:rsidRPr="00F11054">
      <w:rPr>
        <w:lang w:val="fr-FR"/>
      </w:rPr>
      <w:instrText xml:space="preserve"> NUMPAGES </w:instrText>
    </w:r>
    <w:r w:rsidRPr="00935675">
      <w:fldChar w:fldCharType="separate"/>
    </w:r>
    <w:r w:rsidR="00F320B4">
      <w:rPr>
        <w:noProof/>
        <w:lang w:val="fr-FR"/>
      </w:rPr>
      <w:t>6</w:t>
    </w:r>
    <w:r w:rsidRPr="00935675">
      <w:fldChar w:fldCharType="end"/>
    </w:r>
    <w:r w:rsidRPr="00F11054">
      <w:rPr>
        <w:lang w:val="fr-FR"/>
      </w:rPr>
      <w:tab/>
    </w:r>
    <w:r w:rsidRPr="00935675">
      <w:fldChar w:fldCharType="begin"/>
    </w:r>
    <w:r w:rsidRPr="00F11054">
      <w:rPr>
        <w:lang w:val="fr-FR"/>
      </w:rPr>
      <w:instrText xml:space="preserve"> REF InsideFooter </w:instrText>
    </w:r>
    <w:r w:rsidRPr="00935675">
      <w:fldChar w:fldCharType="separate"/>
    </w:r>
    <w:r w:rsidR="008A3C4D" w:rsidRPr="00F11054">
      <w:rPr>
        <w:rStyle w:val="HideTWBExt"/>
        <w:noProof w:val="0"/>
        <w:lang w:val="fr-FR"/>
      </w:rPr>
      <w:t>&lt;</w:t>
    </w:r>
    <w:proofErr w:type="spellStart"/>
    <w:r w:rsidR="008A3C4D" w:rsidRPr="00F11054">
      <w:rPr>
        <w:rStyle w:val="HideTWBExt"/>
        <w:noProof w:val="0"/>
        <w:lang w:val="fr-FR"/>
      </w:rPr>
      <w:t>PathFdR</w:t>
    </w:r>
    <w:proofErr w:type="spellEnd"/>
    <w:r w:rsidR="008A3C4D" w:rsidRPr="00F11054">
      <w:rPr>
        <w:rStyle w:val="HideTWBExt"/>
        <w:noProof w:val="0"/>
        <w:lang w:val="fr-FR"/>
      </w:rPr>
      <w:t>&gt;</w:t>
    </w:r>
    <w:r w:rsidR="008A3C4D" w:rsidRPr="00F11054">
      <w:rPr>
        <w:lang w:val="fr-FR"/>
      </w:rPr>
      <w:t>RE\1148303EN.docx</w:t>
    </w:r>
    <w:r w:rsidR="008A3C4D" w:rsidRPr="00F11054">
      <w:rPr>
        <w:rStyle w:val="HideTWBExt"/>
        <w:noProof w:val="0"/>
        <w:lang w:val="fr-FR"/>
      </w:rPr>
      <w:t>&lt;/</w:t>
    </w:r>
    <w:proofErr w:type="spellStart"/>
    <w:r w:rsidR="008A3C4D" w:rsidRPr="00F11054">
      <w:rPr>
        <w:rStyle w:val="HideTWBExt"/>
        <w:noProof w:val="0"/>
        <w:lang w:val="fr-FR"/>
      </w:rPr>
      <w:t>PathFdR</w:t>
    </w:r>
    <w:proofErr w:type="spellEnd"/>
    <w:r w:rsidR="008A3C4D" w:rsidRPr="00F11054">
      <w:rPr>
        <w:rStyle w:val="HideTWBExt"/>
        <w:noProof w:val="0"/>
        <w:lang w:val="fr-FR"/>
      </w:rPr>
      <w:t>&gt;</w:t>
    </w:r>
    <w:r w:rsidRPr="00935675">
      <w:fldChar w:fldCharType="end"/>
    </w:r>
  </w:p>
  <w:p w14:paraId="1403D2D9" w14:textId="112FEFA5" w:rsidR="00D95E5E" w:rsidRPr="00F11054" w:rsidRDefault="00D95E5E">
    <w:pPr>
      <w:pStyle w:val="Footer2"/>
      <w:rPr>
        <w:lang w:val="fr-FR"/>
      </w:rPr>
    </w:pPr>
    <w:r w:rsidRPr="00935675">
      <w:fldChar w:fldCharType="begin"/>
    </w:r>
    <w:r w:rsidRPr="00F11054">
      <w:rPr>
        <w:lang w:val="fr-FR"/>
      </w:rPr>
      <w:instrText xml:space="preserve"> DOCPROPERTY "&lt;Extension&gt;" </w:instrText>
    </w:r>
    <w:r w:rsidRPr="00935675">
      <w:fldChar w:fldCharType="separate"/>
    </w:r>
    <w:r w:rsidR="008A3C4D">
      <w:rPr>
        <w:lang w:val="fr-FR"/>
      </w:rPr>
      <w:t>EN</w:t>
    </w:r>
    <w:r w:rsidRPr="0093567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132A" w14:textId="22D1E231" w:rsidR="00D95E5E" w:rsidRPr="00F11054" w:rsidRDefault="00D95E5E">
    <w:pPr>
      <w:pStyle w:val="Footer"/>
      <w:tabs>
        <w:tab w:val="right" w:pos="9356"/>
      </w:tabs>
      <w:rPr>
        <w:lang w:val="fr-FR"/>
      </w:rPr>
    </w:pPr>
    <w:r w:rsidRPr="00935675">
      <w:fldChar w:fldCharType="begin"/>
    </w:r>
    <w:r w:rsidRPr="00F11054">
      <w:rPr>
        <w:lang w:val="fr-FR"/>
      </w:rPr>
      <w:instrText xml:space="preserve"> REF InsideFooter </w:instrText>
    </w:r>
    <w:r w:rsidRPr="00935675">
      <w:fldChar w:fldCharType="separate"/>
    </w:r>
    <w:r w:rsidR="008A3C4D" w:rsidRPr="00F11054">
      <w:rPr>
        <w:rStyle w:val="HideTWBExt"/>
        <w:noProof w:val="0"/>
        <w:lang w:val="fr-FR"/>
      </w:rPr>
      <w:t>&lt;</w:t>
    </w:r>
    <w:proofErr w:type="spellStart"/>
    <w:r w:rsidR="008A3C4D" w:rsidRPr="00F11054">
      <w:rPr>
        <w:rStyle w:val="HideTWBExt"/>
        <w:noProof w:val="0"/>
        <w:lang w:val="fr-FR"/>
      </w:rPr>
      <w:t>PathFdR</w:t>
    </w:r>
    <w:proofErr w:type="spellEnd"/>
    <w:r w:rsidR="008A3C4D" w:rsidRPr="00F11054">
      <w:rPr>
        <w:rStyle w:val="HideTWBExt"/>
        <w:noProof w:val="0"/>
        <w:lang w:val="fr-FR"/>
      </w:rPr>
      <w:t>&gt;</w:t>
    </w:r>
    <w:r w:rsidR="008A3C4D" w:rsidRPr="00F11054">
      <w:rPr>
        <w:lang w:val="fr-FR"/>
      </w:rPr>
      <w:t>RE\1148303EN.docx</w:t>
    </w:r>
    <w:r w:rsidR="008A3C4D" w:rsidRPr="00F11054">
      <w:rPr>
        <w:rStyle w:val="HideTWBExt"/>
        <w:noProof w:val="0"/>
        <w:lang w:val="fr-FR"/>
      </w:rPr>
      <w:t>&lt;/</w:t>
    </w:r>
    <w:proofErr w:type="spellStart"/>
    <w:r w:rsidR="008A3C4D" w:rsidRPr="00F11054">
      <w:rPr>
        <w:rStyle w:val="HideTWBExt"/>
        <w:noProof w:val="0"/>
        <w:lang w:val="fr-FR"/>
      </w:rPr>
      <w:t>PathFdR</w:t>
    </w:r>
    <w:proofErr w:type="spellEnd"/>
    <w:r w:rsidR="008A3C4D" w:rsidRPr="00F11054">
      <w:rPr>
        <w:rStyle w:val="HideTWBExt"/>
        <w:noProof w:val="0"/>
        <w:lang w:val="fr-FR"/>
      </w:rPr>
      <w:t>&gt;</w:t>
    </w:r>
    <w:r w:rsidRPr="00935675">
      <w:fldChar w:fldCharType="end"/>
    </w:r>
    <w:r w:rsidRPr="00F11054">
      <w:rPr>
        <w:lang w:val="fr-FR"/>
      </w:rPr>
      <w:tab/>
    </w:r>
    <w:r w:rsidRPr="00935675">
      <w:fldChar w:fldCharType="begin"/>
    </w:r>
    <w:r w:rsidRPr="00F11054">
      <w:rPr>
        <w:lang w:val="fr-FR"/>
      </w:rPr>
      <w:instrText xml:space="preserve"> PAGE </w:instrText>
    </w:r>
    <w:r w:rsidRPr="00935675">
      <w:fldChar w:fldCharType="separate"/>
    </w:r>
    <w:r w:rsidR="00F320B4">
      <w:rPr>
        <w:noProof/>
        <w:lang w:val="fr-FR"/>
      </w:rPr>
      <w:t>5</w:t>
    </w:r>
    <w:r w:rsidRPr="00935675">
      <w:fldChar w:fldCharType="end"/>
    </w:r>
    <w:r w:rsidRPr="00F11054">
      <w:rPr>
        <w:lang w:val="fr-FR"/>
      </w:rPr>
      <w:t>/</w:t>
    </w:r>
    <w:r w:rsidRPr="00935675">
      <w:fldChar w:fldCharType="begin"/>
    </w:r>
    <w:r w:rsidRPr="00F11054">
      <w:rPr>
        <w:lang w:val="fr-FR"/>
      </w:rPr>
      <w:instrText xml:space="preserve"> NUMPAGES </w:instrText>
    </w:r>
    <w:r w:rsidRPr="00935675">
      <w:fldChar w:fldCharType="separate"/>
    </w:r>
    <w:r w:rsidR="00F320B4">
      <w:rPr>
        <w:noProof/>
        <w:lang w:val="fr-FR"/>
      </w:rPr>
      <w:t>6</w:t>
    </w:r>
    <w:r w:rsidRPr="00935675">
      <w:fldChar w:fldCharType="end"/>
    </w:r>
    <w:r w:rsidRPr="00F11054">
      <w:rPr>
        <w:lang w:val="fr-FR"/>
      </w:rPr>
      <w:tab/>
    </w:r>
    <w:r w:rsidRPr="00935675">
      <w:fldChar w:fldCharType="begin"/>
    </w:r>
    <w:r w:rsidRPr="00F11054">
      <w:rPr>
        <w:lang w:val="fr-FR"/>
      </w:rPr>
      <w:instrText xml:space="preserve"> REF OutsideFooter </w:instrText>
    </w:r>
    <w:r w:rsidRPr="00935675">
      <w:fldChar w:fldCharType="separate"/>
    </w:r>
    <w:r w:rsidR="008A3C4D" w:rsidRPr="00F11054">
      <w:rPr>
        <w:lang w:val="fr-FR"/>
      </w:rPr>
      <w:t>PE</w:t>
    </w:r>
    <w:r w:rsidR="008A3C4D" w:rsidRPr="00F11054">
      <w:rPr>
        <w:rStyle w:val="HideTWBExt"/>
        <w:noProof w:val="0"/>
        <w:lang w:val="fr-FR"/>
      </w:rPr>
      <w:t>&lt;</w:t>
    </w:r>
    <w:proofErr w:type="spellStart"/>
    <w:r w:rsidR="008A3C4D" w:rsidRPr="00F11054">
      <w:rPr>
        <w:rStyle w:val="HideTWBExt"/>
        <w:noProof w:val="0"/>
        <w:lang w:val="fr-FR"/>
      </w:rPr>
      <w:t>NoPE</w:t>
    </w:r>
    <w:proofErr w:type="spellEnd"/>
    <w:r w:rsidR="008A3C4D" w:rsidRPr="00F11054">
      <w:rPr>
        <w:rStyle w:val="HideTWBExt"/>
        <w:noProof w:val="0"/>
        <w:lang w:val="fr-FR"/>
      </w:rPr>
      <w:t>&gt;</w:t>
    </w:r>
    <w:r w:rsidR="008A3C4D" w:rsidRPr="00F11054">
      <w:rPr>
        <w:lang w:val="fr-FR"/>
      </w:rPr>
      <w:t>616.104</w:t>
    </w:r>
    <w:r w:rsidR="008A3C4D" w:rsidRPr="00F11054">
      <w:rPr>
        <w:rStyle w:val="HideTWBExt"/>
        <w:noProof w:val="0"/>
        <w:lang w:val="fr-FR"/>
      </w:rPr>
      <w:t>&lt;/</w:t>
    </w:r>
    <w:proofErr w:type="spellStart"/>
    <w:r w:rsidR="008A3C4D" w:rsidRPr="00F11054">
      <w:rPr>
        <w:rStyle w:val="HideTWBExt"/>
        <w:noProof w:val="0"/>
        <w:lang w:val="fr-FR"/>
      </w:rPr>
      <w:t>NoPE</w:t>
    </w:r>
    <w:proofErr w:type="spellEnd"/>
    <w:r w:rsidR="008A3C4D" w:rsidRPr="00F11054">
      <w:rPr>
        <w:rStyle w:val="HideTWBExt"/>
        <w:noProof w:val="0"/>
        <w:lang w:val="fr-FR"/>
      </w:rPr>
      <w:t>&gt;&lt;Version&gt;</w:t>
    </w:r>
    <w:r w:rsidR="008A3C4D" w:rsidRPr="00F11054">
      <w:rPr>
        <w:lang w:val="fr-FR"/>
      </w:rPr>
      <w:t>v01-00</w:t>
    </w:r>
    <w:r w:rsidR="008A3C4D" w:rsidRPr="00F11054">
      <w:rPr>
        <w:rStyle w:val="HideTWBExt"/>
        <w:noProof w:val="0"/>
        <w:lang w:val="fr-FR"/>
      </w:rPr>
      <w:t>&lt;/Version&gt;</w:t>
    </w:r>
    <w:r w:rsidRPr="00935675">
      <w:fldChar w:fldCharType="end"/>
    </w:r>
  </w:p>
  <w:p w14:paraId="4D612A11" w14:textId="0A6258E5" w:rsidR="00D95E5E" w:rsidRPr="00935675" w:rsidRDefault="00D95E5E">
    <w:pPr>
      <w:pStyle w:val="Footer2"/>
    </w:pPr>
    <w:r w:rsidRPr="00F11054">
      <w:rPr>
        <w:lang w:val="fr-FR"/>
      </w:rPr>
      <w:tab/>
    </w:r>
    <w:r w:rsidR="00F320B4">
      <w:fldChar w:fldCharType="begin"/>
    </w:r>
    <w:r w:rsidR="00F320B4">
      <w:instrText xml:space="preserve"> DOCPROPERTY "&lt;Extension&gt;" </w:instrText>
    </w:r>
    <w:r w:rsidR="00F320B4">
      <w:fldChar w:fldCharType="separate"/>
    </w:r>
    <w:r w:rsidR="008A3C4D">
      <w:t>EN</w:t>
    </w:r>
    <w:r w:rsidR="00F320B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11E9" w14:textId="77777777" w:rsidR="00D95E5E" w:rsidRPr="00F11054" w:rsidRDefault="00D95E5E">
    <w:pPr>
      <w:pStyle w:val="Footer"/>
      <w:rPr>
        <w:lang w:val="fr-FR"/>
      </w:rPr>
    </w:pPr>
    <w:bookmarkStart w:id="1" w:name="InsideFooter"/>
    <w:r w:rsidRPr="00F11054">
      <w:rPr>
        <w:rStyle w:val="HideTWBExt"/>
        <w:noProof w:val="0"/>
        <w:lang w:val="fr-FR"/>
      </w:rPr>
      <w:t>&lt;PathFdR&gt;</w:t>
    </w:r>
    <w:r w:rsidRPr="00F11054">
      <w:rPr>
        <w:lang w:val="fr-FR"/>
      </w:rPr>
      <w:t>RE\1148303EN.docx</w:t>
    </w:r>
    <w:r w:rsidRPr="00F11054">
      <w:rPr>
        <w:rStyle w:val="HideTWBExt"/>
        <w:noProof w:val="0"/>
        <w:lang w:val="fr-FR"/>
      </w:rPr>
      <w:t>&lt;/PathFdR&gt;</w:t>
    </w:r>
    <w:bookmarkEnd w:id="1"/>
    <w:r w:rsidRPr="00F11054">
      <w:rPr>
        <w:lang w:val="fr-FR"/>
      </w:rPr>
      <w:tab/>
    </w:r>
    <w:r w:rsidRPr="00F11054">
      <w:rPr>
        <w:lang w:val="fr-FR"/>
      </w:rPr>
      <w:tab/>
    </w:r>
    <w:bookmarkStart w:id="2" w:name="OutsideFooter"/>
    <w:r w:rsidRPr="00F11054">
      <w:rPr>
        <w:lang w:val="fr-FR"/>
      </w:rPr>
      <w:t>PE</w:t>
    </w:r>
    <w:r w:rsidRPr="00F11054">
      <w:rPr>
        <w:rStyle w:val="HideTWBExt"/>
        <w:noProof w:val="0"/>
        <w:lang w:val="fr-FR"/>
      </w:rPr>
      <w:t>&lt;NoPE&gt;</w:t>
    </w:r>
    <w:r w:rsidRPr="00F11054">
      <w:rPr>
        <w:lang w:val="fr-FR"/>
      </w:rPr>
      <w:t>616.104</w:t>
    </w:r>
    <w:r w:rsidRPr="00F11054">
      <w:rPr>
        <w:rStyle w:val="HideTWBExt"/>
        <w:noProof w:val="0"/>
        <w:lang w:val="fr-FR"/>
      </w:rPr>
      <w:t>&lt;/NoPE&gt;&lt;Version&gt;</w:t>
    </w:r>
    <w:r w:rsidRPr="00F11054">
      <w:rPr>
        <w:lang w:val="fr-FR"/>
      </w:rPr>
      <w:t>v01-00</w:t>
    </w:r>
    <w:r w:rsidRPr="00F11054">
      <w:rPr>
        <w:rStyle w:val="HideTWBExt"/>
        <w:noProof w:val="0"/>
        <w:lang w:val="fr-FR"/>
      </w:rPr>
      <w:t>&lt;/Version&gt;</w:t>
    </w:r>
    <w:bookmarkEnd w:id="2"/>
  </w:p>
  <w:p w14:paraId="7D7DE617" w14:textId="602AF0D6" w:rsidR="00D95E5E" w:rsidRPr="00935675" w:rsidRDefault="00F320B4" w:rsidP="00907285">
    <w:pPr>
      <w:pStyle w:val="Footer2"/>
      <w:tabs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8A3C4D">
      <w:t>EN</w:t>
    </w:r>
    <w:r>
      <w:fldChar w:fldCharType="end"/>
    </w:r>
    <w:r w:rsidR="00D95E5E" w:rsidRPr="00935675">
      <w:rPr>
        <w:color w:val="C0C0C0"/>
      </w:rPr>
      <w:tab/>
    </w:r>
    <w:r w:rsidR="00D95E5E">
      <w:rPr>
        <w:b w:val="0"/>
        <w:i/>
        <w:color w:val="C0C0C0"/>
        <w:sz w:val="22"/>
        <w:szCs w:val="22"/>
      </w:rPr>
      <w:t>United in diversity</w:t>
    </w:r>
    <w:r w:rsidR="00D95E5E" w:rsidRPr="00935675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8A3C4D">
      <w:t>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3E8E" w14:textId="77777777" w:rsidR="00D95E5E" w:rsidRPr="00935675" w:rsidRDefault="00D95E5E">
      <w:r w:rsidRPr="00935675">
        <w:separator/>
      </w:r>
    </w:p>
  </w:footnote>
  <w:footnote w:type="continuationSeparator" w:id="0">
    <w:p w14:paraId="43F62850" w14:textId="77777777" w:rsidR="00D95E5E" w:rsidRPr="00935675" w:rsidRDefault="00D95E5E">
      <w:r w:rsidRPr="00935675">
        <w:continuationSeparator/>
      </w:r>
    </w:p>
  </w:footnote>
  <w:footnote w:id="1">
    <w:p w14:paraId="2F11F78B" w14:textId="77777777" w:rsidR="002531D6" w:rsidRPr="002531D6" w:rsidRDefault="002531D6" w:rsidP="002531D6">
      <w:pPr>
        <w:pStyle w:val="FootnoteText"/>
      </w:pPr>
      <w:r w:rsidRPr="002531D6">
        <w:rPr>
          <w:rStyle w:val="FootnoteReference"/>
        </w:rPr>
        <w:footnoteRef/>
      </w:r>
      <w:r w:rsidRPr="002531D6">
        <w:t xml:space="preserve"> Texts adopted, P8_</w:t>
      </w:r>
      <w:proofErr w:type="gramStart"/>
      <w:r w:rsidRPr="002531D6">
        <w:t>TA(</w:t>
      </w:r>
      <w:proofErr w:type="gramEnd"/>
      <w:r w:rsidRPr="002531D6">
        <w:t>2016)0377.</w:t>
      </w:r>
    </w:p>
  </w:footnote>
  <w:footnote w:id="2">
    <w:p w14:paraId="5F52642A" w14:textId="77777777" w:rsidR="002531D6" w:rsidRPr="008A3C4D" w:rsidRDefault="002531D6" w:rsidP="002531D6">
      <w:pPr>
        <w:pStyle w:val="FootnoteText"/>
        <w:rPr>
          <w:lang w:val="pl-PL"/>
        </w:rPr>
      </w:pPr>
      <w:r w:rsidRPr="002531D6">
        <w:rPr>
          <w:rStyle w:val="FootnoteReference"/>
        </w:rPr>
        <w:footnoteRef/>
      </w:r>
      <w:r w:rsidRPr="008A3C4D">
        <w:rPr>
          <w:lang w:val="pl-PL"/>
        </w:rPr>
        <w:t xml:space="preserve"> </w:t>
      </w:r>
      <w:proofErr w:type="spellStart"/>
      <w:r w:rsidRPr="008A3C4D">
        <w:rPr>
          <w:lang w:val="pl-PL"/>
        </w:rPr>
        <w:t>Texts</w:t>
      </w:r>
      <w:proofErr w:type="spellEnd"/>
      <w:r w:rsidRPr="008A3C4D">
        <w:rPr>
          <w:lang w:val="pl-PL"/>
        </w:rPr>
        <w:t xml:space="preserve"> </w:t>
      </w:r>
      <w:proofErr w:type="spellStart"/>
      <w:r w:rsidRPr="008A3C4D">
        <w:rPr>
          <w:lang w:val="pl-PL"/>
        </w:rPr>
        <w:t>adopted</w:t>
      </w:r>
      <w:proofErr w:type="spellEnd"/>
      <w:r w:rsidRPr="008A3C4D">
        <w:rPr>
          <w:lang w:val="pl-PL"/>
        </w:rPr>
        <w:t>, P8_TA(2016)0346.</w:t>
      </w:r>
    </w:p>
  </w:footnote>
  <w:footnote w:id="3">
    <w:p w14:paraId="76D982D6" w14:textId="77777777" w:rsidR="002531D6" w:rsidRPr="002531D6" w:rsidRDefault="002531D6" w:rsidP="002531D6">
      <w:pPr>
        <w:pStyle w:val="FootnoteText"/>
      </w:pPr>
      <w:r w:rsidRPr="002531D6">
        <w:rPr>
          <w:rStyle w:val="FootnoteReference"/>
        </w:rPr>
        <w:footnoteRef/>
      </w:r>
      <w:r w:rsidRPr="002531D6">
        <w:t xml:space="preserve"> </w:t>
      </w:r>
      <w:r w:rsidRPr="008A3C4D">
        <w:rPr>
          <w:szCs w:val="22"/>
        </w:rPr>
        <w:t>Texts adopted, P8_</w:t>
      </w:r>
      <w:proofErr w:type="gramStart"/>
      <w:r w:rsidRPr="008A3C4D">
        <w:rPr>
          <w:szCs w:val="22"/>
        </w:rPr>
        <w:t>TA(</w:t>
      </w:r>
      <w:proofErr w:type="gramEnd"/>
      <w:r w:rsidRPr="008A3C4D">
        <w:rPr>
          <w:szCs w:val="22"/>
        </w:rPr>
        <w:t>2017)0010</w:t>
      </w:r>
      <w:r w:rsidRPr="001A1A3D">
        <w:rPr>
          <w:szCs w:val="22"/>
        </w:rPr>
        <w:t>.</w:t>
      </w:r>
    </w:p>
  </w:footnote>
  <w:footnote w:id="4">
    <w:p w14:paraId="117D34F2" w14:textId="77777777" w:rsidR="002531D6" w:rsidRPr="002531D6" w:rsidRDefault="002531D6" w:rsidP="002531D6">
      <w:pPr>
        <w:pStyle w:val="FootnoteText"/>
      </w:pPr>
      <w:r w:rsidRPr="002531D6">
        <w:rPr>
          <w:rStyle w:val="FootnoteReference"/>
        </w:rPr>
        <w:footnoteRef/>
      </w:r>
      <w:r w:rsidRPr="002531D6">
        <w:t xml:space="preserve"> Texts adopted, P8_</w:t>
      </w:r>
      <w:proofErr w:type="gramStart"/>
      <w:r w:rsidRPr="002531D6">
        <w:t>TA(</w:t>
      </w:r>
      <w:proofErr w:type="gramEnd"/>
      <w:r w:rsidRPr="002531D6">
        <w:t>2016)0317.</w:t>
      </w:r>
    </w:p>
  </w:footnote>
  <w:footnote w:id="5">
    <w:p w14:paraId="0B64DC4B" w14:textId="77777777" w:rsidR="002531D6" w:rsidRPr="008A3C4D" w:rsidRDefault="002531D6" w:rsidP="002531D6">
      <w:pPr>
        <w:pStyle w:val="FootnoteText"/>
        <w:rPr>
          <w:lang w:val="pl-PL"/>
        </w:rPr>
      </w:pPr>
      <w:r w:rsidRPr="002531D6">
        <w:rPr>
          <w:rStyle w:val="FootnoteReference"/>
        </w:rPr>
        <w:footnoteRef/>
      </w:r>
      <w:r w:rsidRPr="008A3C4D">
        <w:rPr>
          <w:lang w:val="pl-PL"/>
        </w:rPr>
        <w:t xml:space="preserve"> OJ C 289, 9.8.2016, </w:t>
      </w:r>
      <w:proofErr w:type="gramStart"/>
      <w:r w:rsidRPr="008A3C4D">
        <w:rPr>
          <w:lang w:val="pl-PL"/>
        </w:rPr>
        <w:t>p</w:t>
      </w:r>
      <w:proofErr w:type="gramEnd"/>
      <w:r w:rsidRPr="008A3C4D">
        <w:rPr>
          <w:lang w:val="pl-PL"/>
        </w:rPr>
        <w:t>. 19.</w:t>
      </w:r>
    </w:p>
  </w:footnote>
  <w:footnote w:id="6">
    <w:p w14:paraId="3763DB73" w14:textId="2C4CBD58" w:rsidR="002531D6" w:rsidRPr="008A3C4D" w:rsidRDefault="002531D6" w:rsidP="002531D6">
      <w:pPr>
        <w:pStyle w:val="FootnoteText"/>
        <w:rPr>
          <w:lang w:val="pl-PL"/>
        </w:rPr>
      </w:pPr>
      <w:r w:rsidRPr="002531D6">
        <w:rPr>
          <w:rStyle w:val="FootnoteReference"/>
        </w:rPr>
        <w:footnoteRef/>
      </w:r>
      <w:r w:rsidRPr="008A3C4D">
        <w:rPr>
          <w:lang w:val="pl-PL"/>
        </w:rPr>
        <w:t xml:space="preserve"> </w:t>
      </w:r>
      <w:r w:rsidRPr="008A3C4D">
        <w:rPr>
          <w:szCs w:val="22"/>
          <w:lang w:val="pl-PL"/>
        </w:rPr>
        <w:t xml:space="preserve">OJ C 440, 30.12.2015, </w:t>
      </w:r>
      <w:proofErr w:type="gramStart"/>
      <w:r w:rsidRPr="008A3C4D">
        <w:rPr>
          <w:szCs w:val="22"/>
          <w:lang w:val="pl-PL"/>
        </w:rPr>
        <w:t>p</w:t>
      </w:r>
      <w:proofErr w:type="gramEnd"/>
      <w:r w:rsidRPr="008A3C4D">
        <w:rPr>
          <w:szCs w:val="22"/>
          <w:lang w:val="pl-PL"/>
        </w:rPr>
        <w:t>. 23</w:t>
      </w:r>
      <w:r w:rsidRPr="008A3C4D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739C" w14:textId="77777777" w:rsidR="008A3C4D" w:rsidRDefault="008A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F380" w14:textId="77777777" w:rsidR="008A3C4D" w:rsidRDefault="008A3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C617" w14:textId="77777777" w:rsidR="008A3C4D" w:rsidRDefault="008A3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1"/>
    <w:docVar w:name="strDocTypeID" w:val="RE_Statements"/>
    <w:docVar w:name="strSubDir" w:val="1148"/>
    <w:docVar w:name="TXTLANGUE" w:val="EN"/>
    <w:docVar w:name="TXTLANGUEMIN" w:val="en"/>
    <w:docVar w:name="TXTNRB" w:val="0158/2018"/>
    <w:docVar w:name="TXTNRPE" w:val="616.104"/>
    <w:docVar w:name="TXTNRRSP" w:val="2018/2633"/>
    <w:docVar w:name="TXTPEorAP" w:val="PE"/>
    <w:docVar w:name="TXTROUTE" w:val="RE\1148303EN.docx"/>
    <w:docVar w:name="TXTTITLE" w:val="on Corporate Social Responsibility (CSR)"/>
    <w:docVar w:name="TXTVERSION" w:val="01-00"/>
  </w:docVars>
  <w:rsids>
    <w:rsidRoot w:val="00935675"/>
    <w:rsid w:val="00037F46"/>
    <w:rsid w:val="00094DDA"/>
    <w:rsid w:val="0019245B"/>
    <w:rsid w:val="001A1A3D"/>
    <w:rsid w:val="001B49A3"/>
    <w:rsid w:val="001C62C5"/>
    <w:rsid w:val="002531D6"/>
    <w:rsid w:val="002574AA"/>
    <w:rsid w:val="002C7767"/>
    <w:rsid w:val="00303413"/>
    <w:rsid w:val="003772FA"/>
    <w:rsid w:val="004C7382"/>
    <w:rsid w:val="005422E7"/>
    <w:rsid w:val="0058312A"/>
    <w:rsid w:val="00706BC0"/>
    <w:rsid w:val="00723A0B"/>
    <w:rsid w:val="00780A7D"/>
    <w:rsid w:val="00814BC6"/>
    <w:rsid w:val="008A3C4D"/>
    <w:rsid w:val="008A4052"/>
    <w:rsid w:val="008A61FA"/>
    <w:rsid w:val="00907285"/>
    <w:rsid w:val="00935675"/>
    <w:rsid w:val="00A127FD"/>
    <w:rsid w:val="00A301E0"/>
    <w:rsid w:val="00A90219"/>
    <w:rsid w:val="00B06095"/>
    <w:rsid w:val="00B25B4B"/>
    <w:rsid w:val="00B34A46"/>
    <w:rsid w:val="00B83C2D"/>
    <w:rsid w:val="00BF72BF"/>
    <w:rsid w:val="00C23264"/>
    <w:rsid w:val="00CC09D8"/>
    <w:rsid w:val="00D12F64"/>
    <w:rsid w:val="00D90D37"/>
    <w:rsid w:val="00D95E5E"/>
    <w:rsid w:val="00DA6A82"/>
    <w:rsid w:val="00E53167"/>
    <w:rsid w:val="00E868AC"/>
    <w:rsid w:val="00F11054"/>
    <w:rsid w:val="00F26DE8"/>
    <w:rsid w:val="00F320B4"/>
    <w:rsid w:val="00F4455A"/>
    <w:rsid w:val="00F959BA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BB2D0"/>
  <w15:chartTrackingRefBased/>
  <w15:docId w15:val="{2BE31C47-FFA9-42F9-9C79-1502D52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FootnoteText">
    <w:name w:val="footnote text"/>
    <w:basedOn w:val="Normal"/>
    <w:link w:val="FootnoteTextChar"/>
    <w:rsid w:val="008A61F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61FA"/>
  </w:style>
  <w:style w:type="character" w:styleId="FootnoteReference">
    <w:name w:val="footnote reference"/>
    <w:rsid w:val="008A61F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54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2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22E7"/>
  </w:style>
  <w:style w:type="paragraph" w:styleId="CommentSubject">
    <w:name w:val="annotation subject"/>
    <w:basedOn w:val="CommentText"/>
    <w:next w:val="CommentText"/>
    <w:link w:val="CommentSubjectChar"/>
    <w:rsid w:val="00542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2E7"/>
    <w:rPr>
      <w:b/>
      <w:bCs/>
    </w:rPr>
  </w:style>
  <w:style w:type="paragraph" w:styleId="BalloonText">
    <w:name w:val="Balloon Text"/>
    <w:basedOn w:val="Normal"/>
    <w:link w:val="BalloonTextChar"/>
    <w:rsid w:val="0054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1964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MONKUNIENE Neringa</cp:lastModifiedBy>
  <cp:revision>2</cp:revision>
  <cp:lastPrinted>2004-11-19T15:55:00Z</cp:lastPrinted>
  <dcterms:created xsi:type="dcterms:W3CDTF">2018-03-15T08:59:00Z</dcterms:created>
  <dcterms:modified xsi:type="dcterms:W3CDTF">2018-03-15T08:59:00Z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1148303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\\eiciLUXpr1\pdocep$\DocEP\DOCS\General\RE\RE_Statements.dot(13/10/2017 10:48:29)</vt:lpwstr>
  </property>
  <property fmtid="{D5CDD505-2E9C-101B-9397-08002B2CF9AE}" pid="8" name="&lt;ModelTra&gt;">
    <vt:lpwstr>\\eiciLUXpr1\pdocep$\DocEP\TRANSFIL\EN\RE_Statements.EN(13/10/2017 10:43:44)</vt:lpwstr>
  </property>
  <property fmtid="{D5CDD505-2E9C-101B-9397-08002B2CF9AE}" pid="9" name="&lt;Model&gt;">
    <vt:lpwstr>RE_Statements</vt:lpwstr>
  </property>
  <property fmtid="{D5CDD505-2E9C-101B-9397-08002B2CF9AE}" pid="10" name="FooterPath">
    <vt:lpwstr>RE\1148303EN.docx</vt:lpwstr>
  </property>
  <property fmtid="{D5CDD505-2E9C-101B-9397-08002B2CF9AE}" pid="11" name="PE number">
    <vt:lpwstr>616.104</vt:lpwstr>
  </property>
  <property fmtid="{D5CDD505-2E9C-101B-9397-08002B2CF9AE}" pid="12" name="Bookout">
    <vt:lpwstr>OK - 2018/03/13 16:02</vt:lpwstr>
  </property>
  <property fmtid="{D5CDD505-2E9C-101B-9397-08002B2CF9AE}" pid="13" name="SubscribeElise">
    <vt:lpwstr/>
  </property>
</Properties>
</file>