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D6517" w:rsidRPr="000B783C" w14:paraId="6C597A2E" w14:textId="77777777" w:rsidTr="00D765D6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62BD5684" w14:textId="77777777" w:rsidR="001D6517" w:rsidRPr="005668AB" w:rsidRDefault="009165C3" w:rsidP="00D765D6">
            <w:pPr>
              <w:pStyle w:val="EPName"/>
              <w:rPr>
                <w:lang w:val="en-GB"/>
              </w:rPr>
            </w:pPr>
            <w:r w:rsidRPr="000B783C">
              <w:rPr>
                <w:lang w:val="en-GB"/>
              </w:rPr>
              <w:t>European Parliament</w:t>
            </w:r>
          </w:p>
          <w:p w14:paraId="14AD0449" w14:textId="77777777" w:rsidR="001D6517" w:rsidRPr="000B783C" w:rsidRDefault="00496E8B" w:rsidP="00496E8B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n-GB"/>
              </w:rPr>
            </w:pPr>
            <w:r w:rsidRPr="00D462E8">
              <w:rPr>
                <w:lang w:val="en-GB"/>
              </w:rPr>
              <w:t>2014-2019</w:t>
            </w:r>
          </w:p>
        </w:tc>
        <w:tc>
          <w:tcPr>
            <w:tcW w:w="2268" w:type="dxa"/>
            <w:shd w:val="clear" w:color="auto" w:fill="auto"/>
          </w:tcPr>
          <w:p w14:paraId="4C8A2FD2" w14:textId="7EE03DD1" w:rsidR="001D6517" w:rsidRPr="000B783C" w:rsidRDefault="00C13274" w:rsidP="00D765D6">
            <w:pPr>
              <w:pStyle w:val="EPLogo"/>
            </w:pPr>
            <w:r w:rsidRPr="0050720C">
              <w:drawing>
                <wp:inline distT="0" distB="0" distL="0" distR="0" wp14:anchorId="217DD04C" wp14:editId="30CE8C11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B13052" w14:textId="77777777" w:rsidR="000C7B89" w:rsidRPr="000B783C" w:rsidRDefault="000C7B89" w:rsidP="000C7B89">
      <w:pPr>
        <w:pStyle w:val="LineTop"/>
        <w:rPr>
          <w:lang w:val="en-GB"/>
        </w:rPr>
      </w:pPr>
    </w:p>
    <w:p w14:paraId="0B978C24" w14:textId="77777777" w:rsidR="000C7B89" w:rsidRPr="000B783C" w:rsidRDefault="00496E8B" w:rsidP="000C7B89">
      <w:pPr>
        <w:pStyle w:val="ZSessionDoc"/>
      </w:pPr>
      <w:r w:rsidRPr="000B783C">
        <w:t>Plenary sitting</w:t>
      </w:r>
    </w:p>
    <w:p w14:paraId="4FE7E618" w14:textId="77777777" w:rsidR="00680742" w:rsidRPr="000B783C" w:rsidRDefault="00680742" w:rsidP="00680742">
      <w:pPr>
        <w:pStyle w:val="LineBottom"/>
      </w:pPr>
    </w:p>
    <w:p w14:paraId="0E72F639" w14:textId="77777777" w:rsidR="00680742" w:rsidRPr="000B783C" w:rsidRDefault="00680742" w:rsidP="00680742">
      <w:pPr>
        <w:pStyle w:val="RefProc"/>
      </w:pPr>
      <w:r w:rsidRPr="000B783C">
        <w:rPr>
          <w:rStyle w:val="HideTWBExt"/>
          <w:b w:val="0"/>
          <w:noProof w:val="0"/>
        </w:rPr>
        <w:t>&lt;NoDocSe&gt;</w:t>
      </w:r>
      <w:r w:rsidR="00496E8B" w:rsidRPr="000B783C">
        <w:t>B8</w:t>
      </w:r>
      <w:r w:rsidR="00496E8B" w:rsidRPr="000B783C">
        <w:noBreakHyphen/>
        <w:t>0273/2017</w:t>
      </w:r>
      <w:r w:rsidRPr="000B783C">
        <w:rPr>
          <w:rStyle w:val="HideTWBExt"/>
          <w:b w:val="0"/>
          <w:noProof w:val="0"/>
        </w:rPr>
        <w:t>&lt;/NoDocSe&gt;</w:t>
      </w:r>
    </w:p>
    <w:p w14:paraId="6B5C9177" w14:textId="77777777" w:rsidR="00680742" w:rsidRPr="000B783C" w:rsidRDefault="00680742" w:rsidP="00680742">
      <w:pPr>
        <w:pStyle w:val="ZDate"/>
      </w:pPr>
      <w:r w:rsidRPr="000B783C">
        <w:rPr>
          <w:rStyle w:val="HideTWBExt"/>
          <w:noProof w:val="0"/>
        </w:rPr>
        <w:t>&lt;Date&gt;</w:t>
      </w:r>
      <w:r w:rsidR="00496E8B" w:rsidRPr="000B783C">
        <w:rPr>
          <w:rStyle w:val="HideTWBInt"/>
        </w:rPr>
        <w:t>{20/04/2017}</w:t>
      </w:r>
      <w:r w:rsidR="00496E8B" w:rsidRPr="000B783C">
        <w:t>20.4.2017</w:t>
      </w:r>
      <w:r w:rsidRPr="000B783C">
        <w:rPr>
          <w:rStyle w:val="HideTWBExt"/>
          <w:noProof w:val="0"/>
        </w:rPr>
        <w:t>&lt;/Date&gt;</w:t>
      </w:r>
    </w:p>
    <w:p w14:paraId="59457B3D" w14:textId="77777777" w:rsidR="00A93F71" w:rsidRPr="000B783C" w:rsidRDefault="00A93F71" w:rsidP="00A93F71">
      <w:pPr>
        <w:pStyle w:val="TypeDoc"/>
      </w:pPr>
      <w:r w:rsidRPr="000B783C">
        <w:rPr>
          <w:rStyle w:val="HideTWBExt"/>
          <w:b w:val="0"/>
          <w:noProof w:val="0"/>
        </w:rPr>
        <w:t>&lt;TitreType&gt;</w:t>
      </w:r>
      <w:r w:rsidR="00496E8B" w:rsidRPr="000B783C">
        <w:t>MOTION FOR A RESOLUTION</w:t>
      </w:r>
      <w:r w:rsidRPr="000B783C">
        <w:rPr>
          <w:rStyle w:val="HideTWBExt"/>
          <w:b w:val="0"/>
          <w:noProof w:val="0"/>
        </w:rPr>
        <w:t>&lt;/TitreType&gt;</w:t>
      </w:r>
    </w:p>
    <w:p w14:paraId="5995BA7C" w14:textId="77777777" w:rsidR="00A93F71" w:rsidRPr="000B783C" w:rsidRDefault="00A93F71" w:rsidP="00A93F71">
      <w:pPr>
        <w:pStyle w:val="Cover12"/>
      </w:pPr>
      <w:r w:rsidRPr="000B783C">
        <w:rPr>
          <w:rStyle w:val="HideTWBExt"/>
          <w:noProof w:val="0"/>
        </w:rPr>
        <w:t>&lt;TitreRecueil&gt;</w:t>
      </w:r>
      <w:r w:rsidR="009165C3" w:rsidRPr="000B783C">
        <w:t xml:space="preserve">pursuant to </w:t>
      </w:r>
      <w:r w:rsidR="00496E8B" w:rsidRPr="000B783C">
        <w:t>Rule 105(3)</w:t>
      </w:r>
      <w:r w:rsidR="009165C3" w:rsidRPr="000B783C">
        <w:t xml:space="preserve"> of the Rules of Procedure</w:t>
      </w:r>
      <w:r w:rsidRPr="000B783C">
        <w:rPr>
          <w:rStyle w:val="HideTWBExt"/>
          <w:noProof w:val="0"/>
        </w:rPr>
        <w:t>&lt;/TitreRecueil&gt;</w:t>
      </w:r>
    </w:p>
    <w:p w14:paraId="60201364" w14:textId="194F66DD" w:rsidR="006405A7" w:rsidRPr="000B783C" w:rsidRDefault="006405A7" w:rsidP="006405A7">
      <w:pPr>
        <w:pStyle w:val="CoverNormal"/>
      </w:pPr>
      <w:r w:rsidRPr="000B783C">
        <w:rPr>
          <w:rStyle w:val="HideTWBExt"/>
          <w:noProof w:val="0"/>
        </w:rPr>
        <w:t>&lt;Titre&gt;</w:t>
      </w:r>
      <w:r w:rsidR="009165C3" w:rsidRPr="000B783C">
        <w:t xml:space="preserve">on </w:t>
      </w:r>
      <w:r w:rsidR="005668AB">
        <w:t xml:space="preserve">the </w:t>
      </w:r>
      <w:r w:rsidR="00496E8B" w:rsidRPr="005668AB">
        <w:t xml:space="preserve">Commission </w:t>
      </w:r>
      <w:r w:rsidR="00D462E8">
        <w:t>d</w:t>
      </w:r>
      <w:r w:rsidR="00496E8B" w:rsidRPr="005668AB">
        <w:t xml:space="preserve">elegated </w:t>
      </w:r>
      <w:r w:rsidR="00D462E8">
        <w:t>r</w:t>
      </w:r>
      <w:r w:rsidR="00496E8B" w:rsidRPr="005668AB">
        <w:t>egulation</w:t>
      </w:r>
      <w:r w:rsidR="009165C3" w:rsidRPr="005668AB">
        <w:t xml:space="preserve"> of </w:t>
      </w:r>
      <w:r w:rsidR="00496E8B" w:rsidRPr="005668AB">
        <w:t>11 January 2017</w:t>
      </w:r>
      <w:r w:rsidR="009165C3" w:rsidRPr="005668AB">
        <w:t xml:space="preserve"> </w:t>
      </w:r>
      <w:r w:rsidR="00C13274" w:rsidRPr="005668AB">
        <w:t>amending</w:t>
      </w:r>
      <w:r w:rsidR="00C13274" w:rsidRPr="000B783C">
        <w:t xml:space="preserve"> </w:t>
      </w:r>
      <w:r w:rsidR="00496E8B" w:rsidRPr="000B783C">
        <w:t>Annex III to Regulation (EU) No 978/2012 of the European Parliament and of the Council applying a scheme of generalised tariff preferences</w:t>
      </w:r>
      <w:r w:rsidRPr="000B783C">
        <w:rPr>
          <w:rStyle w:val="HideTWBExt"/>
          <w:noProof w:val="0"/>
        </w:rPr>
        <w:t>&lt;/Titre&gt;</w:t>
      </w:r>
    </w:p>
    <w:p w14:paraId="4994D631" w14:textId="77777777" w:rsidR="006405A7" w:rsidRPr="00D462E8" w:rsidRDefault="006405A7" w:rsidP="006405A7">
      <w:pPr>
        <w:pStyle w:val="CoverNormal"/>
      </w:pPr>
      <w:r w:rsidRPr="00D462E8">
        <w:rPr>
          <w:rStyle w:val="HideTWBExt"/>
          <w:noProof w:val="0"/>
        </w:rPr>
        <w:t>&lt;DocRef&gt;</w:t>
      </w:r>
      <w:r w:rsidR="009165C3" w:rsidRPr="00D462E8">
        <w:t>(</w:t>
      </w:r>
      <w:r w:rsidR="00496E8B" w:rsidRPr="00D462E8">
        <w:t>C(2016)8996 – 2017/2511</w:t>
      </w:r>
      <w:r w:rsidR="009165C3" w:rsidRPr="00D462E8">
        <w:t>(DEA))</w:t>
      </w:r>
      <w:r w:rsidRPr="00D462E8">
        <w:rPr>
          <w:rStyle w:val="HideTWBExt"/>
          <w:noProof w:val="0"/>
        </w:rPr>
        <w:t>&lt;/DocRef&gt;</w:t>
      </w:r>
    </w:p>
    <w:p w14:paraId="6DEA0118" w14:textId="77777777" w:rsidR="006405A7" w:rsidRPr="00D462E8" w:rsidRDefault="006405A7" w:rsidP="006405A7">
      <w:pPr>
        <w:pStyle w:val="Cover12"/>
      </w:pPr>
    </w:p>
    <w:p w14:paraId="4538FA1E" w14:textId="77777777" w:rsidR="00A93F71" w:rsidRPr="00D462E8" w:rsidRDefault="00A93F71" w:rsidP="00A93F71">
      <w:pPr>
        <w:pStyle w:val="CoverBold"/>
      </w:pPr>
      <w:r w:rsidRPr="00D462E8">
        <w:rPr>
          <w:rStyle w:val="HideTWBExt"/>
          <w:b w:val="0"/>
          <w:noProof w:val="0"/>
        </w:rPr>
        <w:t>&lt;Depute&gt;</w:t>
      </w:r>
      <w:r w:rsidR="00496E8B" w:rsidRPr="00D462E8">
        <w:t>Lola Sánchez Caldentey, Anne-Marie Mineur, Merja Kyllönen, Dimitrios Papadimoulis</w:t>
      </w:r>
      <w:r w:rsidRPr="00D462E8">
        <w:rPr>
          <w:rStyle w:val="HideTWBExt"/>
          <w:b w:val="0"/>
          <w:noProof w:val="0"/>
        </w:rPr>
        <w:t>&lt;/Depute&gt;</w:t>
      </w:r>
    </w:p>
    <w:p w14:paraId="35E0293D" w14:textId="77777777" w:rsidR="00A93F71" w:rsidRPr="005668AB" w:rsidRDefault="00A93F71" w:rsidP="00A93F71">
      <w:pPr>
        <w:pStyle w:val="Cover12"/>
      </w:pPr>
      <w:r w:rsidRPr="000B783C">
        <w:rPr>
          <w:rStyle w:val="HideTWBExt"/>
          <w:noProof w:val="0"/>
        </w:rPr>
        <w:t>&lt;Commission&gt;</w:t>
      </w:r>
      <w:r w:rsidR="00496E8B" w:rsidRPr="005668AB">
        <w:t>on behalf of the GUE/NGL Group</w:t>
      </w:r>
      <w:r w:rsidRPr="005668AB">
        <w:rPr>
          <w:rStyle w:val="HideTWBExt"/>
          <w:noProof w:val="0"/>
        </w:rPr>
        <w:t>&lt;/Commission&gt;</w:t>
      </w:r>
    </w:p>
    <w:p w14:paraId="739AE8EA" w14:textId="77777777" w:rsidR="00A93F71" w:rsidRPr="005668AB" w:rsidRDefault="00A93F71" w:rsidP="00A93F71">
      <w:pPr>
        <w:pStyle w:val="Normal12Bold"/>
      </w:pPr>
      <w:r w:rsidRPr="005668AB">
        <w:br w:type="page"/>
      </w:r>
      <w:r w:rsidR="00496E8B" w:rsidRPr="005668AB">
        <w:lastRenderedPageBreak/>
        <w:t>B8</w:t>
      </w:r>
      <w:r w:rsidR="00496E8B" w:rsidRPr="005668AB">
        <w:noBreakHyphen/>
        <w:t>0273/2017</w:t>
      </w:r>
    </w:p>
    <w:p w14:paraId="18E65E75" w14:textId="07398754" w:rsidR="006405A7" w:rsidRPr="000B783C" w:rsidRDefault="009165C3" w:rsidP="006405A7">
      <w:pPr>
        <w:pStyle w:val="NormalBold"/>
      </w:pPr>
      <w:r w:rsidRPr="000B783C">
        <w:t xml:space="preserve">European Parliament resolution on </w:t>
      </w:r>
      <w:r w:rsidR="00C13274" w:rsidRPr="000B783C">
        <w:t xml:space="preserve">the </w:t>
      </w:r>
      <w:r w:rsidR="00496E8B" w:rsidRPr="000B783C">
        <w:t xml:space="preserve">Commission </w:t>
      </w:r>
      <w:r w:rsidR="00D462E8">
        <w:t>d</w:t>
      </w:r>
      <w:r w:rsidR="00496E8B" w:rsidRPr="000B783C">
        <w:t xml:space="preserve">elegated </w:t>
      </w:r>
      <w:r w:rsidR="00D462E8">
        <w:t>r</w:t>
      </w:r>
      <w:r w:rsidR="00496E8B" w:rsidRPr="000B783C">
        <w:t xml:space="preserve">egulation </w:t>
      </w:r>
      <w:r w:rsidRPr="000B783C">
        <w:t xml:space="preserve">of </w:t>
      </w:r>
      <w:r w:rsidR="00496E8B" w:rsidRPr="000B783C">
        <w:t>11 January 2017</w:t>
      </w:r>
      <w:r w:rsidRPr="000B783C">
        <w:t xml:space="preserve"> </w:t>
      </w:r>
      <w:r w:rsidR="00C23A6D" w:rsidRPr="000B783C">
        <w:t xml:space="preserve">amending </w:t>
      </w:r>
      <w:r w:rsidR="00496E8B" w:rsidRPr="000B783C">
        <w:t>Annex III to Regulation (EU) No 978/2012 of the European Parliament and of the Council applying a scheme of generalised tariff preferences</w:t>
      </w:r>
    </w:p>
    <w:p w14:paraId="58C2754F" w14:textId="77777777" w:rsidR="006405A7" w:rsidRPr="000B783C" w:rsidRDefault="009165C3" w:rsidP="006405A7">
      <w:pPr>
        <w:pStyle w:val="NormalBold"/>
      </w:pPr>
      <w:r w:rsidRPr="000B783C">
        <w:t>(</w:t>
      </w:r>
      <w:r w:rsidR="00496E8B" w:rsidRPr="000B783C">
        <w:t>C(2016)8996 – 2017/2511</w:t>
      </w:r>
      <w:r w:rsidRPr="000B783C">
        <w:t>(DEA))</w:t>
      </w:r>
    </w:p>
    <w:p w14:paraId="371B4A7D" w14:textId="77777777" w:rsidR="006405A7" w:rsidRPr="000B783C" w:rsidRDefault="006405A7" w:rsidP="006405A7">
      <w:pPr>
        <w:pStyle w:val="Normal12"/>
      </w:pPr>
    </w:p>
    <w:p w14:paraId="2D0581BE" w14:textId="77777777" w:rsidR="00A93F71" w:rsidRPr="000B783C" w:rsidRDefault="009165C3" w:rsidP="00A93F71">
      <w:pPr>
        <w:pStyle w:val="Normal12"/>
      </w:pPr>
      <w:r w:rsidRPr="000B783C">
        <w:rPr>
          <w:i/>
        </w:rPr>
        <w:t>The European Parliament</w:t>
      </w:r>
      <w:r w:rsidRPr="000B783C">
        <w:t>,</w:t>
      </w:r>
    </w:p>
    <w:p w14:paraId="474F11D1" w14:textId="13500D6C" w:rsidR="00A93F71" w:rsidRPr="000B783C" w:rsidRDefault="00A93F71" w:rsidP="00A93F71">
      <w:pPr>
        <w:pStyle w:val="Normal12Hanging"/>
      </w:pPr>
      <w:r w:rsidRPr="000B783C">
        <w:t>–</w:t>
      </w:r>
      <w:r w:rsidRPr="000B783C">
        <w:tab/>
      </w:r>
      <w:r w:rsidR="009165C3" w:rsidRPr="000B783C">
        <w:t xml:space="preserve">having regard to </w:t>
      </w:r>
      <w:r w:rsidR="00D462E8">
        <w:t xml:space="preserve">the </w:t>
      </w:r>
      <w:r w:rsidR="00496E8B" w:rsidRPr="000B783C">
        <w:t xml:space="preserve">Commission </w:t>
      </w:r>
      <w:r w:rsidR="00D462E8">
        <w:t>d</w:t>
      </w:r>
      <w:r w:rsidR="00496E8B" w:rsidRPr="000B783C">
        <w:t xml:space="preserve">elegated </w:t>
      </w:r>
      <w:r w:rsidR="00D462E8">
        <w:t>r</w:t>
      </w:r>
      <w:r w:rsidR="00496E8B" w:rsidRPr="000B783C">
        <w:t xml:space="preserve">egulation </w:t>
      </w:r>
      <w:r w:rsidR="00B179FA" w:rsidRPr="000B783C">
        <w:t>(C(2016)8996),</w:t>
      </w:r>
    </w:p>
    <w:p w14:paraId="3F6B56D1" w14:textId="77777777" w:rsidR="00A93F71" w:rsidRPr="000B783C" w:rsidRDefault="00A93F71" w:rsidP="00A93F71">
      <w:pPr>
        <w:pStyle w:val="Normal12Hanging"/>
      </w:pPr>
      <w:r w:rsidRPr="000B783C">
        <w:t>–</w:t>
      </w:r>
      <w:r w:rsidRPr="000B783C">
        <w:tab/>
      </w:r>
      <w:r w:rsidR="009165C3" w:rsidRPr="000B783C">
        <w:t>having regard to Article 290 of the Treaty on the Functioning of the European Union,</w:t>
      </w:r>
    </w:p>
    <w:p w14:paraId="13EE6C3E" w14:textId="7A95CB5E" w:rsidR="00496E8B" w:rsidRPr="000B783C" w:rsidRDefault="00496E8B" w:rsidP="00496E8B">
      <w:pPr>
        <w:pStyle w:val="Normal12Hanging"/>
      </w:pPr>
      <w:r w:rsidRPr="000B783C">
        <w:t>–</w:t>
      </w:r>
      <w:r w:rsidRPr="000B783C">
        <w:tab/>
        <w:t>having regard to Regulation (EU) No 978/2012 of the European Parliament and of  the Council of 25 October 2012 applying a scheme of generalised tariff preferences and repealing Council Regulation (EC) No 732/2008</w:t>
      </w:r>
      <w:r w:rsidRPr="000B783C">
        <w:rPr>
          <w:rStyle w:val="FootnoteReference"/>
        </w:rPr>
        <w:footnoteReference w:id="1"/>
      </w:r>
      <w:r w:rsidR="00C17BD9" w:rsidRPr="000B783C">
        <w:t xml:space="preserve">, </w:t>
      </w:r>
      <w:r w:rsidR="00640E94" w:rsidRPr="000B783C">
        <w:t>and in particular Article 10(4) and 36(5)</w:t>
      </w:r>
      <w:r w:rsidR="002E7363" w:rsidRPr="000B783C">
        <w:t xml:space="preserve"> thereof</w:t>
      </w:r>
      <w:r w:rsidRPr="000B783C">
        <w:t>,</w:t>
      </w:r>
    </w:p>
    <w:p w14:paraId="746AF227" w14:textId="564D3A74" w:rsidR="00A93F71" w:rsidRPr="000B783C" w:rsidRDefault="00A93F71" w:rsidP="00A93F71">
      <w:pPr>
        <w:pStyle w:val="Normal12Hanging"/>
      </w:pPr>
      <w:r w:rsidRPr="000B783C">
        <w:t>–</w:t>
      </w:r>
      <w:r w:rsidRPr="000B783C">
        <w:tab/>
      </w:r>
      <w:r w:rsidR="009165C3" w:rsidRPr="000B783C">
        <w:t xml:space="preserve">having regard to </w:t>
      </w:r>
      <w:r w:rsidR="00496E8B" w:rsidRPr="000B783C">
        <w:t>Rule 105(3)</w:t>
      </w:r>
      <w:r w:rsidR="009165C3" w:rsidRPr="000B783C">
        <w:t xml:space="preserve"> of its Rules of Procedure,</w:t>
      </w:r>
    </w:p>
    <w:p w14:paraId="45D8C31F" w14:textId="533E9869" w:rsidR="00496E8B" w:rsidRPr="000B783C" w:rsidRDefault="00A93F71" w:rsidP="00496E8B">
      <w:pPr>
        <w:pStyle w:val="Normal12Hanging"/>
      </w:pPr>
      <w:r w:rsidRPr="000B783C">
        <w:t>A.</w:t>
      </w:r>
      <w:r w:rsidRPr="000B783C">
        <w:tab/>
      </w:r>
      <w:r w:rsidR="009165C3" w:rsidRPr="000B783C">
        <w:t xml:space="preserve">whereas </w:t>
      </w:r>
      <w:r w:rsidR="00496E8B" w:rsidRPr="000B783C">
        <w:t xml:space="preserve">Regulation (EU) No 978/2012 lays down the modalities of the Union's Generalised System of Preferences, which is </w:t>
      </w:r>
      <w:r w:rsidR="003218A0" w:rsidRPr="000B783C">
        <w:t>intended</w:t>
      </w:r>
      <w:r w:rsidR="00496E8B" w:rsidRPr="000B783C">
        <w:t xml:space="preserve"> to improve </w:t>
      </w:r>
      <w:r w:rsidR="003218A0" w:rsidRPr="000B783C">
        <w:t xml:space="preserve">the </w:t>
      </w:r>
      <w:r w:rsidR="00496E8B" w:rsidRPr="000B783C">
        <w:t>develop</w:t>
      </w:r>
      <w:r w:rsidR="003218A0" w:rsidRPr="000B783C">
        <w:t>ment of</w:t>
      </w:r>
      <w:r w:rsidR="00496E8B" w:rsidRPr="000B783C">
        <w:t xml:space="preserve"> countries' access to the EU market by granting them preferential treatment for their export products; </w:t>
      </w:r>
    </w:p>
    <w:p w14:paraId="27C246F8" w14:textId="77777777" w:rsidR="00496E8B" w:rsidRPr="000B783C" w:rsidRDefault="00496E8B" w:rsidP="00496E8B">
      <w:pPr>
        <w:pStyle w:val="Normal12Hanging"/>
      </w:pPr>
      <w:r w:rsidRPr="000B783C">
        <w:t>B.</w:t>
      </w:r>
      <w:r w:rsidRPr="000B783C">
        <w:tab/>
        <w:t>whereas the Generalised System of Preferences consists of a general arrangement and two special a</w:t>
      </w:r>
      <w:bookmarkStart w:id="0" w:name="_GoBack"/>
      <w:bookmarkEnd w:id="0"/>
      <w:r w:rsidRPr="000B783C">
        <w:t>rrangements, including the special  incentive arrangement for sustainable development and good governance (GSP+), charging no duties on imports of over 6</w:t>
      </w:r>
      <w:r w:rsidR="003218A0" w:rsidRPr="000B783C">
        <w:t> </w:t>
      </w:r>
      <w:r w:rsidRPr="000B783C">
        <w:t>000 tariff lines from beneficiaries;</w:t>
      </w:r>
    </w:p>
    <w:p w14:paraId="63294F3D" w14:textId="244F1BCF" w:rsidR="00496E8B" w:rsidRPr="000B783C" w:rsidRDefault="00496E8B" w:rsidP="00496E8B">
      <w:pPr>
        <w:pStyle w:val="Normal12Hanging"/>
      </w:pPr>
      <w:r w:rsidRPr="000B783C">
        <w:t>C.</w:t>
      </w:r>
      <w:r w:rsidRPr="000B783C">
        <w:tab/>
        <w:t xml:space="preserve">whereas GSP+ is </w:t>
      </w:r>
      <w:r w:rsidR="003218A0" w:rsidRPr="000B783C">
        <w:t>intended</w:t>
      </w:r>
      <w:r w:rsidRPr="000B783C">
        <w:t xml:space="preserve"> to </w:t>
      </w:r>
      <w:r w:rsidR="003218A0" w:rsidRPr="000B783C">
        <w:t>provide</w:t>
      </w:r>
      <w:r w:rsidRPr="000B783C">
        <w:t xml:space="preserve"> a credible incentive for countries </w:t>
      </w:r>
      <w:r w:rsidR="003218A0" w:rsidRPr="000B783C">
        <w:t>which</w:t>
      </w:r>
      <w:r w:rsidRPr="000B783C">
        <w:t xml:space="preserve"> commit themselves to implementing core international conventions that are considered essential in the context of sustainable development;</w:t>
      </w:r>
    </w:p>
    <w:p w14:paraId="42D1CB60" w14:textId="088B852F" w:rsidR="00496E8B" w:rsidRPr="000B783C" w:rsidRDefault="00496E8B" w:rsidP="00496E8B">
      <w:pPr>
        <w:pStyle w:val="Normal12Hanging"/>
      </w:pPr>
      <w:r w:rsidRPr="000B783C">
        <w:t>D.</w:t>
      </w:r>
      <w:r w:rsidRPr="000B783C">
        <w:tab/>
        <w:t xml:space="preserve">whereas Article 9(1) of Regulation (EU) No 978/2012 defines the conditions which an applicant country </w:t>
      </w:r>
      <w:r w:rsidR="003218A0" w:rsidRPr="000B783C">
        <w:t>must</w:t>
      </w:r>
      <w:r w:rsidRPr="000B783C">
        <w:t xml:space="preserve"> fulfil to become a GSP+ beneficiary country;</w:t>
      </w:r>
    </w:p>
    <w:p w14:paraId="0573F127" w14:textId="6B8107FB" w:rsidR="00496E8B" w:rsidRPr="000B783C" w:rsidRDefault="00496E8B" w:rsidP="00496E8B">
      <w:pPr>
        <w:pStyle w:val="Normal12Hanging"/>
      </w:pPr>
      <w:r w:rsidRPr="000B783C">
        <w:t>E.</w:t>
      </w:r>
      <w:r w:rsidRPr="000B783C">
        <w:tab/>
        <w:t>whereas Article 10(4) of  Regulation (EU) No 978/2012 empowers the Commission to adopt delegated acts in order to establish or amend Annex III in order to grant a requesting country the special incentive arrangement for sustainable development and good governance by adding that country to the list of GSP+ beneficiary countries;</w:t>
      </w:r>
    </w:p>
    <w:p w14:paraId="4BF71F63" w14:textId="060A00B9" w:rsidR="00496E8B" w:rsidRPr="000B783C" w:rsidRDefault="00496E8B" w:rsidP="00496E8B">
      <w:pPr>
        <w:pStyle w:val="Normal12Hanging"/>
      </w:pPr>
      <w:r w:rsidRPr="000B783C">
        <w:t>F.</w:t>
      </w:r>
      <w:r w:rsidRPr="000B783C">
        <w:tab/>
        <w:t xml:space="preserve">whereas in February 2010 GSP+ preferences to Sri Lanka were suspended due to serious breaches in the application of UN human rights instruments, </w:t>
      </w:r>
      <w:r w:rsidR="00E05011" w:rsidRPr="000B783C">
        <w:t xml:space="preserve">in </w:t>
      </w:r>
      <w:r w:rsidR="00E05011" w:rsidRPr="000B783C">
        <w:lastRenderedPageBreak/>
        <w:t xml:space="preserve">particular </w:t>
      </w:r>
      <w:r w:rsidRPr="000B783C">
        <w:t>the International Covenant on Civil and Political Rights, the Co</w:t>
      </w:r>
      <w:r w:rsidR="00E05011" w:rsidRPr="000B783C">
        <w:t>n</w:t>
      </w:r>
      <w:r w:rsidRPr="000B783C">
        <w:t>ven</w:t>
      </w:r>
      <w:r w:rsidR="00E05011" w:rsidRPr="000B783C">
        <w:t>tion</w:t>
      </w:r>
      <w:r w:rsidRPr="000B783C">
        <w:t xml:space="preserve"> on the Rights of the Child, the Convention against Torture</w:t>
      </w:r>
      <w:r w:rsidR="00E05011" w:rsidRPr="000B783C">
        <w:t xml:space="preserve"> and Other Cruel, Inhuman or Degrading Treatment or Punishment</w:t>
      </w:r>
      <w:r w:rsidRPr="000B783C">
        <w:t xml:space="preserve"> and the ILO </w:t>
      </w:r>
      <w:r w:rsidR="00E05011" w:rsidRPr="000B783C">
        <w:t>c</w:t>
      </w:r>
      <w:r w:rsidRPr="000B783C">
        <w:t xml:space="preserve">ore </w:t>
      </w:r>
      <w:r w:rsidR="00E05011" w:rsidRPr="000B783C">
        <w:t>l</w:t>
      </w:r>
      <w:r w:rsidRPr="000B783C">
        <w:t xml:space="preserve">abour </w:t>
      </w:r>
      <w:r w:rsidR="00E05011" w:rsidRPr="000B783C">
        <w:t>c</w:t>
      </w:r>
      <w:r w:rsidRPr="000B783C">
        <w:t>onventions;</w:t>
      </w:r>
    </w:p>
    <w:p w14:paraId="627BF7F9" w14:textId="1ACEEF32" w:rsidR="00496E8B" w:rsidRPr="000B783C" w:rsidRDefault="00496E8B" w:rsidP="00496E8B">
      <w:pPr>
        <w:pStyle w:val="Normal12Hanging"/>
      </w:pPr>
      <w:r w:rsidRPr="000B783C">
        <w:t>G.</w:t>
      </w:r>
      <w:r w:rsidRPr="000B783C">
        <w:tab/>
        <w:t>whereas</w:t>
      </w:r>
      <w:r w:rsidR="00E05011" w:rsidRPr="000B783C">
        <w:t>,</w:t>
      </w:r>
      <w:r w:rsidRPr="000B783C">
        <w:t xml:space="preserve"> since January 2015, the government of Sri Lanka has taken some positive steps towards improving human rights</w:t>
      </w:r>
      <w:r w:rsidR="00E05011" w:rsidRPr="000B783C">
        <w:t>, including its</w:t>
      </w:r>
      <w:r w:rsidRPr="000B783C">
        <w:t xml:space="preserve"> decision to co-sponsor Human Rights Council (HRC) Resolution 30/1 in October 2015;</w:t>
      </w:r>
    </w:p>
    <w:p w14:paraId="48E4F196" w14:textId="77777777" w:rsidR="00496E8B" w:rsidRPr="000B783C" w:rsidRDefault="00496E8B" w:rsidP="00496E8B">
      <w:pPr>
        <w:pStyle w:val="Normal12Hanging"/>
      </w:pPr>
      <w:r w:rsidRPr="000B783C">
        <w:t>H.</w:t>
      </w:r>
      <w:r w:rsidRPr="000B783C">
        <w:tab/>
        <w:t>whereas on 11 January 2017 the Commission adopted a delegated act to add Sri Lanka to Annex III of Regulation (EU) No 978/2012;</w:t>
      </w:r>
    </w:p>
    <w:p w14:paraId="1214D113" w14:textId="50D1B39D" w:rsidR="00496E8B" w:rsidRPr="000B783C" w:rsidRDefault="00496E8B" w:rsidP="00496E8B">
      <w:pPr>
        <w:pStyle w:val="Normal12Hanging"/>
      </w:pPr>
      <w:r w:rsidRPr="000B783C">
        <w:t>I.</w:t>
      </w:r>
      <w:r w:rsidRPr="000B783C">
        <w:tab/>
        <w:t xml:space="preserve">whereas the government’s reform efforts, including those that directly relate to the GSP+ criteria, have not yet delivered </w:t>
      </w:r>
      <w:r w:rsidR="00E05011" w:rsidRPr="000B783C">
        <w:t>o</w:t>
      </w:r>
      <w:r w:rsidRPr="000B783C">
        <w:t xml:space="preserve">n their </w:t>
      </w:r>
      <w:r w:rsidR="00E05011" w:rsidRPr="000B783C">
        <w:t>aim of</w:t>
      </w:r>
      <w:r w:rsidRPr="000B783C">
        <w:t xml:space="preserve"> comply</w:t>
      </w:r>
      <w:r w:rsidR="00E05011" w:rsidRPr="000B783C">
        <w:t>ing</w:t>
      </w:r>
      <w:r w:rsidRPr="000B783C">
        <w:t xml:space="preserve"> with the International Covenant on Civil and Political Rights</w:t>
      </w:r>
      <w:r w:rsidR="00E05011" w:rsidRPr="000B783C">
        <w:t>,</w:t>
      </w:r>
      <w:r w:rsidRPr="000B783C">
        <w:t xml:space="preserve"> the Convention against Torture</w:t>
      </w:r>
      <w:r w:rsidR="00E05011" w:rsidRPr="000B783C">
        <w:t xml:space="preserve"> and Other Cruel, Inhuman or Degrading Treatment or Punishment</w:t>
      </w:r>
      <w:r w:rsidRPr="000B783C">
        <w:t>, and the Convention on the Elimination of Racial Discrimination;</w:t>
      </w:r>
    </w:p>
    <w:p w14:paraId="43A5879D" w14:textId="31F8BC76" w:rsidR="00496E8B" w:rsidRPr="000B783C" w:rsidRDefault="00496E8B" w:rsidP="00496E8B">
      <w:pPr>
        <w:pStyle w:val="Normal12Hanging"/>
      </w:pPr>
      <w:r w:rsidRPr="000B783C">
        <w:t>J.</w:t>
      </w:r>
      <w:r w:rsidRPr="000B783C">
        <w:tab/>
        <w:t xml:space="preserve">whereas the report of the Office of the United Nations High Commissioner for Human Rights on Sri Lanka </w:t>
      </w:r>
      <w:r w:rsidR="00E05011" w:rsidRPr="000B783C">
        <w:t>(</w:t>
      </w:r>
      <w:r w:rsidRPr="000B783C">
        <w:t>A/HRC/34/20</w:t>
      </w:r>
      <w:r w:rsidR="00E05011" w:rsidRPr="000B783C">
        <w:t>)</w:t>
      </w:r>
      <w:r w:rsidRPr="000B783C">
        <w:t xml:space="preserve"> of 10 February 2017 conclude</w:t>
      </w:r>
      <w:r w:rsidR="00E05011" w:rsidRPr="000B783C">
        <w:t>s</w:t>
      </w:r>
      <w:r w:rsidRPr="000B783C">
        <w:t xml:space="preserve"> that the measures taken by Sri Lanka since October 2015 have been </w:t>
      </w:r>
      <w:r w:rsidR="00B41512" w:rsidRPr="000B783C">
        <w:t>‘</w:t>
      </w:r>
      <w:r w:rsidRPr="000B783C">
        <w:t>inadequate to ensure real progress</w:t>
      </w:r>
      <w:r w:rsidR="00B41512" w:rsidRPr="000B783C">
        <w:t>’</w:t>
      </w:r>
      <w:r w:rsidRPr="000B783C">
        <w:t xml:space="preserve"> and </w:t>
      </w:r>
      <w:r w:rsidR="00E05011" w:rsidRPr="000B783C">
        <w:t xml:space="preserve">that </w:t>
      </w:r>
      <w:r w:rsidRPr="000B783C">
        <w:t xml:space="preserve">the fulfilment of commitments has been </w:t>
      </w:r>
      <w:r w:rsidR="00B41512" w:rsidRPr="000B783C">
        <w:t>‘</w:t>
      </w:r>
      <w:r w:rsidRPr="000B783C">
        <w:t>worryingly slow</w:t>
      </w:r>
      <w:r w:rsidR="00B41512" w:rsidRPr="000B783C">
        <w:t>’;</w:t>
      </w:r>
    </w:p>
    <w:p w14:paraId="40507757" w14:textId="2E62BCE1" w:rsidR="00496E8B" w:rsidRPr="000B783C" w:rsidRDefault="00496E8B" w:rsidP="00496E8B">
      <w:pPr>
        <w:pStyle w:val="Normal12Hanging"/>
      </w:pPr>
      <w:r w:rsidRPr="000B783C">
        <w:t>K.</w:t>
      </w:r>
      <w:r w:rsidRPr="000B783C">
        <w:tab/>
        <w:t xml:space="preserve">whereas the ILO Committee of Experts has identified a number of shortcomings </w:t>
      </w:r>
      <w:r w:rsidR="00E05011" w:rsidRPr="000B783C">
        <w:t>in relation to</w:t>
      </w:r>
      <w:r w:rsidRPr="000B783C">
        <w:t xml:space="preserve"> ILO Conventions 87 and 98, including the insufficiencies of the Industrial Disputes Amendment Act 56 of 1999, which is the only existing legislation that relates to ILO Convention 87;</w:t>
      </w:r>
    </w:p>
    <w:p w14:paraId="69FF0E42" w14:textId="28AC2AA8" w:rsidR="00496E8B" w:rsidRPr="000B783C" w:rsidRDefault="00496E8B" w:rsidP="00496E8B">
      <w:pPr>
        <w:pStyle w:val="Normal12Hanging"/>
      </w:pPr>
      <w:r w:rsidRPr="000B783C">
        <w:t>L.</w:t>
      </w:r>
      <w:r w:rsidRPr="000B783C">
        <w:tab/>
        <w:t xml:space="preserve">whereas the process of repealing and replacing the Prevention of Terrorism Act (PTA) has not yet been accomplished; whereas if a new </w:t>
      </w:r>
      <w:r w:rsidR="00E05011" w:rsidRPr="000B783C">
        <w:t>a</w:t>
      </w:r>
      <w:r w:rsidRPr="000B783C">
        <w:t>ct replaces the PTA it must not include a broad definition of ‘terrorism</w:t>
      </w:r>
      <w:r w:rsidR="00E05011" w:rsidRPr="000B783C">
        <w:t>-</w:t>
      </w:r>
      <w:r w:rsidRPr="000B783C">
        <w:t>related’ offences and</w:t>
      </w:r>
      <w:r w:rsidR="003A003A" w:rsidRPr="000B783C">
        <w:t xml:space="preserve"> must</w:t>
      </w:r>
      <w:r w:rsidRPr="000B783C">
        <w:t xml:space="preserve"> limit the risk of forced confessions through torture;</w:t>
      </w:r>
    </w:p>
    <w:p w14:paraId="78D2E904" w14:textId="020430F1" w:rsidR="00496E8B" w:rsidRPr="000B783C" w:rsidRDefault="00496E8B" w:rsidP="00496E8B">
      <w:pPr>
        <w:pStyle w:val="Normal12Hanging"/>
      </w:pPr>
      <w:r w:rsidRPr="000B783C">
        <w:t xml:space="preserve">M. </w:t>
      </w:r>
      <w:r w:rsidRPr="000B783C">
        <w:tab/>
        <w:t xml:space="preserve">whereas the existing </w:t>
      </w:r>
      <w:r w:rsidR="003A003A" w:rsidRPr="000B783C">
        <w:t>h</w:t>
      </w:r>
      <w:r w:rsidRPr="000B783C">
        <w:t xml:space="preserve">uman </w:t>
      </w:r>
      <w:r w:rsidR="003A003A" w:rsidRPr="000B783C">
        <w:t>r</w:t>
      </w:r>
      <w:r w:rsidRPr="000B783C">
        <w:t>ights</w:t>
      </w:r>
      <w:r w:rsidR="003A003A" w:rsidRPr="000B783C">
        <w:t xml:space="preserve"> violations</w:t>
      </w:r>
      <w:r w:rsidRPr="000B783C">
        <w:t xml:space="preserve"> in Sri Lanka r</w:t>
      </w:r>
      <w:r w:rsidR="003A003A" w:rsidRPr="000B783C">
        <w:t>a</w:t>
      </w:r>
      <w:r w:rsidRPr="000B783C">
        <w:t xml:space="preserve">ise concerns about the appropriateness of granting GSP+ status while </w:t>
      </w:r>
      <w:r w:rsidR="003A003A" w:rsidRPr="000B783C">
        <w:t>not enough</w:t>
      </w:r>
      <w:r w:rsidRPr="000B783C">
        <w:t xml:space="preserve"> real progress </w:t>
      </w:r>
      <w:r w:rsidR="003A003A" w:rsidRPr="000B783C">
        <w:t xml:space="preserve">is being made </w:t>
      </w:r>
      <w:r w:rsidRPr="000B783C">
        <w:t xml:space="preserve">according to international bodies; whereas the Sri Lankan </w:t>
      </w:r>
      <w:r w:rsidR="003A003A" w:rsidRPr="000B783C">
        <w:t>G</w:t>
      </w:r>
      <w:r w:rsidRPr="000B783C">
        <w:t>overnment is suspected of not adequately tackling the culture of impunity by rewarding military officials accused of human rights violations with government positions;</w:t>
      </w:r>
    </w:p>
    <w:p w14:paraId="4E4245FF" w14:textId="367B4760" w:rsidR="00A93F71" w:rsidRPr="000B783C" w:rsidRDefault="00496E8B" w:rsidP="00496E8B">
      <w:pPr>
        <w:pStyle w:val="Normal12Hanging"/>
      </w:pPr>
      <w:r w:rsidRPr="000B783C">
        <w:t>N.</w:t>
      </w:r>
      <w:r w:rsidRPr="000B783C">
        <w:tab/>
        <w:t xml:space="preserve">whereas a delegated act </w:t>
      </w:r>
      <w:r w:rsidR="003A003A" w:rsidRPr="000B783C">
        <w:t>may</w:t>
      </w:r>
      <w:r w:rsidRPr="000B783C">
        <w:t xml:space="preserve"> enter into force only if no objection has been expressed by either the European Parliament or the Council within two months of </w:t>
      </w:r>
      <w:r w:rsidR="003A003A" w:rsidRPr="000B783C">
        <w:t xml:space="preserve">its </w:t>
      </w:r>
      <w:r w:rsidRPr="000B783C">
        <w:t>notification; whereas it was agreed to extend that period by two months on 23 January 2017</w:t>
      </w:r>
      <w:r w:rsidR="009165C3" w:rsidRPr="000B783C">
        <w:t>;</w:t>
      </w:r>
    </w:p>
    <w:p w14:paraId="5F84381A" w14:textId="5C96288D" w:rsidR="00A93F71" w:rsidRPr="000B783C" w:rsidRDefault="00A93F71" w:rsidP="00A93F71">
      <w:pPr>
        <w:pStyle w:val="Normal12Hanging"/>
      </w:pPr>
      <w:r w:rsidRPr="000B783C">
        <w:t>1.</w:t>
      </w:r>
      <w:r w:rsidRPr="000B783C">
        <w:tab/>
      </w:r>
      <w:r w:rsidR="009165C3" w:rsidRPr="000B783C">
        <w:t xml:space="preserve">Objects to </w:t>
      </w:r>
      <w:r w:rsidR="00640E94" w:rsidRPr="000B783C">
        <w:t xml:space="preserve">the </w:t>
      </w:r>
      <w:r w:rsidR="00496E8B" w:rsidRPr="000B783C">
        <w:t xml:space="preserve">Commission </w:t>
      </w:r>
      <w:r w:rsidR="00D462E8">
        <w:t>d</w:t>
      </w:r>
      <w:r w:rsidR="00496E8B" w:rsidRPr="000B783C">
        <w:t xml:space="preserve">elegated </w:t>
      </w:r>
      <w:r w:rsidR="00D462E8">
        <w:t>r</w:t>
      </w:r>
      <w:r w:rsidR="00496E8B" w:rsidRPr="000B783C">
        <w:t>egulation</w:t>
      </w:r>
      <w:r w:rsidR="00B41512" w:rsidRPr="000B783C">
        <w:t>;</w:t>
      </w:r>
    </w:p>
    <w:p w14:paraId="6E692FEF" w14:textId="77777777" w:rsidR="00A93F71" w:rsidRPr="000B783C" w:rsidRDefault="00A93F71" w:rsidP="00A93F71">
      <w:pPr>
        <w:pStyle w:val="Normal12Hanging"/>
      </w:pPr>
      <w:r w:rsidRPr="000B783C">
        <w:t>2.</w:t>
      </w:r>
      <w:r w:rsidRPr="000B783C">
        <w:tab/>
      </w:r>
      <w:r w:rsidR="009165C3" w:rsidRPr="000B783C">
        <w:t xml:space="preserve">Instructs its President to forward this resolution to the Commission and to notify it that </w:t>
      </w:r>
      <w:r w:rsidR="00496E8B" w:rsidRPr="000B783C">
        <w:t>the delegated regulation cannot enter into force</w:t>
      </w:r>
      <w:r w:rsidR="009165C3" w:rsidRPr="000B783C">
        <w:t>;</w:t>
      </w:r>
    </w:p>
    <w:p w14:paraId="5460D2A4" w14:textId="77777777" w:rsidR="00F9151F" w:rsidRPr="000B783C" w:rsidRDefault="00496E8B">
      <w:pPr>
        <w:pStyle w:val="Normal12Hanging"/>
      </w:pPr>
      <w:r w:rsidRPr="000B783C">
        <w:lastRenderedPageBreak/>
        <w:t>3</w:t>
      </w:r>
      <w:r w:rsidR="009165C3" w:rsidRPr="000B783C">
        <w:t>.</w:t>
      </w:r>
      <w:r w:rsidR="009165C3" w:rsidRPr="000B783C">
        <w:tab/>
        <w:t>Instructs its President to forward this resolution to the Council and to the governments and parliaments of the Member States.</w:t>
      </w:r>
    </w:p>
    <w:sectPr w:rsidR="00F9151F" w:rsidRPr="000B783C" w:rsidSect="00507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51056" w14:textId="77777777" w:rsidR="009165C3" w:rsidRPr="005668AB" w:rsidRDefault="009165C3">
      <w:r w:rsidRPr="005668AB">
        <w:separator/>
      </w:r>
    </w:p>
  </w:endnote>
  <w:endnote w:type="continuationSeparator" w:id="0">
    <w:p w14:paraId="146ADF61" w14:textId="77777777" w:rsidR="009165C3" w:rsidRPr="005668AB" w:rsidRDefault="009165C3">
      <w:r w:rsidRPr="005668A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A1237" w14:textId="1271880E" w:rsidR="009D12F8" w:rsidRPr="0050720C" w:rsidRDefault="009D12F8" w:rsidP="009D12F8">
    <w:pPr>
      <w:pStyle w:val="Footer"/>
      <w:rPr>
        <w:lang w:val="fr-FR"/>
      </w:rPr>
    </w:pPr>
    <w:r w:rsidRPr="0050720C">
      <w:rPr>
        <w:lang w:val="fr-FR"/>
      </w:rPr>
      <w:t>PE</w:t>
    </w:r>
    <w:r w:rsidRPr="00D462E8">
      <w:rPr>
        <w:rStyle w:val="HideTWBExt"/>
        <w:noProof w:val="0"/>
        <w:lang w:val="fr-FR"/>
      </w:rPr>
      <w:t>&lt;NoPE&gt;</w:t>
    </w:r>
    <w:r w:rsidRPr="0050720C">
      <w:rPr>
        <w:lang w:val="fr-FR"/>
      </w:rPr>
      <w:t>603.715</w:t>
    </w:r>
    <w:r w:rsidRPr="00D462E8">
      <w:rPr>
        <w:rStyle w:val="HideTWBExt"/>
        <w:noProof w:val="0"/>
        <w:lang w:val="fr-FR"/>
      </w:rPr>
      <w:t>&lt;/NoPE&gt;&lt;Version&gt;</w:t>
    </w:r>
    <w:r w:rsidRPr="0050720C">
      <w:rPr>
        <w:lang w:val="fr-FR"/>
      </w:rPr>
      <w:t>v01-00</w:t>
    </w:r>
    <w:r w:rsidRPr="00D462E8">
      <w:rPr>
        <w:rStyle w:val="HideTWBExt"/>
        <w:noProof w:val="0"/>
        <w:lang w:val="fr-FR"/>
      </w:rPr>
      <w:t>&lt;/Version&gt;</w:t>
    </w:r>
    <w:r w:rsidRPr="0050720C">
      <w:rPr>
        <w:lang w:val="fr-FR"/>
      </w:rPr>
      <w:tab/>
    </w:r>
    <w:r w:rsidRPr="00D462E8">
      <w:fldChar w:fldCharType="begin"/>
    </w:r>
    <w:r w:rsidRPr="00D462E8">
      <w:rPr>
        <w:lang w:val="fr-FR"/>
      </w:rPr>
      <w:instrText xml:space="preserve"> PAGE  \* MERGEFORMAT </w:instrText>
    </w:r>
    <w:r w:rsidRPr="00D462E8">
      <w:fldChar w:fldCharType="separate"/>
    </w:r>
    <w:r w:rsidR="00D462E8">
      <w:rPr>
        <w:noProof/>
        <w:lang w:val="fr-FR"/>
      </w:rPr>
      <w:t>2</w:t>
    </w:r>
    <w:r w:rsidRPr="00D462E8">
      <w:fldChar w:fldCharType="end"/>
    </w:r>
    <w:r w:rsidRPr="0050720C">
      <w:rPr>
        <w:lang w:val="fr-FR"/>
      </w:rPr>
      <w:t>/</w:t>
    </w:r>
    <w:r w:rsidRPr="00D462E8">
      <w:fldChar w:fldCharType="begin"/>
    </w:r>
    <w:r w:rsidRPr="00D462E8">
      <w:rPr>
        <w:lang w:val="fr-FR"/>
      </w:rPr>
      <w:instrText xml:space="preserve"> NUMPAGES  \* MERGEFORMAT </w:instrText>
    </w:r>
    <w:r w:rsidRPr="00D462E8">
      <w:fldChar w:fldCharType="separate"/>
    </w:r>
    <w:r w:rsidR="00D462E8">
      <w:rPr>
        <w:noProof/>
        <w:lang w:val="fr-FR"/>
      </w:rPr>
      <w:t>3</w:t>
    </w:r>
    <w:r w:rsidRPr="00D462E8">
      <w:fldChar w:fldCharType="end"/>
    </w:r>
    <w:r w:rsidRPr="0050720C">
      <w:rPr>
        <w:lang w:val="fr-FR"/>
      </w:rPr>
      <w:tab/>
    </w:r>
    <w:r w:rsidRPr="00D462E8">
      <w:rPr>
        <w:rStyle w:val="HideTWBExt"/>
        <w:noProof w:val="0"/>
        <w:lang w:val="fr-FR"/>
      </w:rPr>
      <w:t>&lt;PathFdR&gt;</w:t>
    </w:r>
    <w:r w:rsidR="000B783C" w:rsidRPr="0050720C">
      <w:rPr>
        <w:lang w:val="fr-FR"/>
      </w:rPr>
      <w:t>RE\1123905EN.docx</w:t>
    </w:r>
    <w:r w:rsidRPr="00D462E8">
      <w:rPr>
        <w:rStyle w:val="HideTWBExt"/>
        <w:noProof w:val="0"/>
        <w:lang w:val="fr-FR"/>
      </w:rPr>
      <w:t>&lt;/PathFdR&gt;</w:t>
    </w:r>
  </w:p>
  <w:p w14:paraId="17337839" w14:textId="43090F5B" w:rsidR="000C7B89" w:rsidRPr="00D462E8" w:rsidRDefault="009D12F8" w:rsidP="009D12F8">
    <w:pPr>
      <w:pStyle w:val="Footer2"/>
    </w:pPr>
    <w:r w:rsidRPr="00D462E8"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5035" w14:textId="287D39BC" w:rsidR="009D12F8" w:rsidRPr="00D462E8" w:rsidRDefault="009D12F8" w:rsidP="009D12F8">
    <w:pPr>
      <w:pStyle w:val="Footer"/>
      <w:rPr>
        <w:lang w:val="fr-FR"/>
      </w:rPr>
    </w:pPr>
    <w:r w:rsidRPr="00D462E8">
      <w:rPr>
        <w:rStyle w:val="HideTWBExt"/>
        <w:noProof w:val="0"/>
        <w:lang w:val="fr-FR"/>
      </w:rPr>
      <w:t>&lt;PathFdR&gt;</w:t>
    </w:r>
    <w:r w:rsidR="000B783C" w:rsidRPr="00D462E8">
      <w:rPr>
        <w:lang w:val="fr-FR"/>
      </w:rPr>
      <w:t>RE\1123905EN.docx</w:t>
    </w:r>
    <w:r w:rsidRPr="00D462E8">
      <w:rPr>
        <w:rStyle w:val="HideTWBExt"/>
        <w:noProof w:val="0"/>
        <w:lang w:val="fr-FR"/>
      </w:rPr>
      <w:t>&lt;/PathFdR&gt;</w:t>
    </w:r>
    <w:r w:rsidRPr="00D462E8">
      <w:rPr>
        <w:lang w:val="fr-FR"/>
      </w:rPr>
      <w:tab/>
    </w:r>
    <w:r w:rsidRPr="0050720C">
      <w:fldChar w:fldCharType="begin"/>
    </w:r>
    <w:r w:rsidRPr="00D462E8">
      <w:rPr>
        <w:lang w:val="fr-FR"/>
      </w:rPr>
      <w:instrText xml:space="preserve"> PAGE  \* MERGEFORMAT </w:instrText>
    </w:r>
    <w:r w:rsidRPr="0050720C">
      <w:fldChar w:fldCharType="separate"/>
    </w:r>
    <w:r w:rsidR="00D462E8">
      <w:rPr>
        <w:noProof/>
        <w:lang w:val="fr-FR"/>
      </w:rPr>
      <w:t>3</w:t>
    </w:r>
    <w:r w:rsidRPr="0050720C">
      <w:fldChar w:fldCharType="end"/>
    </w:r>
    <w:r w:rsidRPr="00D462E8">
      <w:rPr>
        <w:lang w:val="fr-FR"/>
      </w:rPr>
      <w:t>/</w:t>
    </w:r>
    <w:r w:rsidRPr="0050720C">
      <w:fldChar w:fldCharType="begin"/>
    </w:r>
    <w:r w:rsidRPr="00D462E8">
      <w:rPr>
        <w:lang w:val="fr-FR"/>
      </w:rPr>
      <w:instrText xml:space="preserve"> NUMPAGES  \* MERGEFORMAT </w:instrText>
    </w:r>
    <w:r w:rsidRPr="0050720C">
      <w:fldChar w:fldCharType="separate"/>
    </w:r>
    <w:r w:rsidR="00D462E8">
      <w:rPr>
        <w:noProof/>
        <w:lang w:val="fr-FR"/>
      </w:rPr>
      <w:t>3</w:t>
    </w:r>
    <w:r w:rsidRPr="0050720C">
      <w:fldChar w:fldCharType="end"/>
    </w:r>
    <w:r w:rsidRPr="00D462E8">
      <w:rPr>
        <w:lang w:val="fr-FR"/>
      </w:rPr>
      <w:tab/>
      <w:t>PE</w:t>
    </w:r>
    <w:r w:rsidRPr="00D462E8">
      <w:rPr>
        <w:rStyle w:val="HideTWBExt"/>
        <w:noProof w:val="0"/>
        <w:lang w:val="fr-FR"/>
      </w:rPr>
      <w:t>&lt;NoPE&gt;</w:t>
    </w:r>
    <w:r w:rsidRPr="00D462E8">
      <w:rPr>
        <w:lang w:val="fr-FR"/>
      </w:rPr>
      <w:t>603.715</w:t>
    </w:r>
    <w:r w:rsidRPr="00D462E8">
      <w:rPr>
        <w:rStyle w:val="HideTWBExt"/>
        <w:noProof w:val="0"/>
        <w:lang w:val="fr-FR"/>
      </w:rPr>
      <w:t>&lt;/NoPE&gt;&lt;Version&gt;</w:t>
    </w:r>
    <w:r w:rsidRPr="00D462E8">
      <w:rPr>
        <w:lang w:val="fr-FR"/>
      </w:rPr>
      <w:t>v01-00</w:t>
    </w:r>
    <w:r w:rsidRPr="00D462E8">
      <w:rPr>
        <w:rStyle w:val="HideTWBExt"/>
        <w:noProof w:val="0"/>
        <w:lang w:val="fr-FR"/>
      </w:rPr>
      <w:t>&lt;/Version&gt;</w:t>
    </w:r>
  </w:p>
  <w:p w14:paraId="2595D6E7" w14:textId="1F5B9419" w:rsidR="000C7B89" w:rsidRPr="000B783C" w:rsidRDefault="009D12F8" w:rsidP="009D12F8">
    <w:pPr>
      <w:pStyle w:val="Footer2"/>
    </w:pPr>
    <w:r w:rsidRPr="00D462E8">
      <w:rPr>
        <w:lang w:val="fr-FR"/>
      </w:rPr>
      <w:tab/>
    </w:r>
    <w:r w:rsidRPr="000B783C"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58D03" w14:textId="671CA10F" w:rsidR="009D12F8" w:rsidRPr="00D462E8" w:rsidRDefault="009D12F8" w:rsidP="009D12F8">
    <w:pPr>
      <w:pStyle w:val="Footer"/>
      <w:rPr>
        <w:lang w:val="fr-FR"/>
      </w:rPr>
    </w:pPr>
    <w:r w:rsidRPr="00D462E8">
      <w:rPr>
        <w:rStyle w:val="HideTWBExt"/>
        <w:noProof w:val="0"/>
        <w:lang w:val="fr-FR"/>
      </w:rPr>
      <w:t>&lt;PathFdR&gt;</w:t>
    </w:r>
    <w:r w:rsidR="000B783C" w:rsidRPr="00D462E8">
      <w:rPr>
        <w:lang w:val="fr-FR"/>
      </w:rPr>
      <w:t>RE\1123905EN.docx</w:t>
    </w:r>
    <w:r w:rsidRPr="00D462E8">
      <w:rPr>
        <w:rStyle w:val="HideTWBExt"/>
        <w:noProof w:val="0"/>
        <w:lang w:val="fr-FR"/>
      </w:rPr>
      <w:t>&lt;/PathFdR&gt;</w:t>
    </w:r>
    <w:r w:rsidRPr="00D462E8">
      <w:rPr>
        <w:lang w:val="fr-FR"/>
      </w:rPr>
      <w:tab/>
    </w:r>
    <w:r w:rsidRPr="00D462E8">
      <w:rPr>
        <w:lang w:val="fr-FR"/>
      </w:rPr>
      <w:tab/>
      <w:t>PE</w:t>
    </w:r>
    <w:r w:rsidRPr="00D462E8">
      <w:rPr>
        <w:rStyle w:val="HideTWBExt"/>
        <w:noProof w:val="0"/>
        <w:lang w:val="fr-FR"/>
      </w:rPr>
      <w:t>&lt;NoPE&gt;</w:t>
    </w:r>
    <w:r w:rsidRPr="00D462E8">
      <w:rPr>
        <w:lang w:val="fr-FR"/>
      </w:rPr>
      <w:t>603.715</w:t>
    </w:r>
    <w:r w:rsidRPr="00D462E8">
      <w:rPr>
        <w:rStyle w:val="HideTWBExt"/>
        <w:noProof w:val="0"/>
        <w:lang w:val="fr-FR"/>
      </w:rPr>
      <w:t>&lt;/NoPE&gt;&lt;Version&gt;</w:t>
    </w:r>
    <w:r w:rsidRPr="00D462E8">
      <w:rPr>
        <w:lang w:val="fr-FR"/>
      </w:rPr>
      <w:t>v01-00</w:t>
    </w:r>
    <w:r w:rsidRPr="00D462E8">
      <w:rPr>
        <w:rStyle w:val="HideTWBExt"/>
        <w:noProof w:val="0"/>
        <w:lang w:val="fr-FR"/>
      </w:rPr>
      <w:t>&lt;/Version&gt;</w:t>
    </w:r>
  </w:p>
  <w:p w14:paraId="4A98DCFB" w14:textId="197FA990" w:rsidR="000C7B89" w:rsidRPr="000B783C" w:rsidRDefault="009D12F8" w:rsidP="009D12F8">
    <w:pPr>
      <w:pStyle w:val="Footer2"/>
      <w:tabs>
        <w:tab w:val="center" w:pos="4535"/>
      </w:tabs>
    </w:pPr>
    <w:r w:rsidRPr="000B783C">
      <w:t>EN</w:t>
    </w:r>
    <w:r w:rsidRPr="000B783C">
      <w:tab/>
    </w:r>
    <w:r w:rsidRPr="000B783C">
      <w:rPr>
        <w:b w:val="0"/>
        <w:i/>
        <w:color w:val="C0C0C0"/>
        <w:sz w:val="22"/>
      </w:rPr>
      <w:t>United in diversity</w:t>
    </w:r>
    <w:r w:rsidRPr="000B783C">
      <w:tab/>
      <w:t>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7FA50" w14:textId="77777777" w:rsidR="009165C3" w:rsidRPr="000B783C" w:rsidRDefault="009165C3">
      <w:r w:rsidRPr="000B783C">
        <w:separator/>
      </w:r>
    </w:p>
  </w:footnote>
  <w:footnote w:type="continuationSeparator" w:id="0">
    <w:p w14:paraId="23146D3F" w14:textId="77777777" w:rsidR="009165C3" w:rsidRPr="005668AB" w:rsidRDefault="009165C3">
      <w:r w:rsidRPr="005668AB">
        <w:continuationSeparator/>
      </w:r>
    </w:p>
  </w:footnote>
  <w:footnote w:id="1">
    <w:p w14:paraId="2A947151" w14:textId="77777777" w:rsidR="00496E8B" w:rsidRPr="005668AB" w:rsidRDefault="00496E8B">
      <w:pPr>
        <w:pStyle w:val="FootnoteText"/>
      </w:pPr>
      <w:r w:rsidRPr="000B783C">
        <w:rPr>
          <w:rStyle w:val="FootnoteReference"/>
        </w:rPr>
        <w:footnoteRef/>
      </w:r>
      <w:r w:rsidRPr="005668AB">
        <w:t xml:space="preserve"> OJ, OJ L 303, 31.10.2012, p. 1</w:t>
      </w:r>
      <w:r w:rsidR="003218A0" w:rsidRPr="005668A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9577" w14:textId="77777777" w:rsidR="00D462E8" w:rsidRDefault="00D46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15FF6" w14:textId="77777777" w:rsidR="00D462E8" w:rsidRDefault="00D462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8EDDF" w14:textId="77777777" w:rsidR="00D462E8" w:rsidRDefault="00D46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ORMNU" w:val=" 3"/>
    <w:docVar w:name="COMKEY" w:val="INTA"/>
    <w:docVar w:name="CopyToNetwork" w:val="-1"/>
    <w:docVar w:name="DELACTDT" w:val="11/01/2017"/>
    <w:docVar w:name="DOCMNU" w:val=" 1"/>
    <w:docVar w:name="DOCTYPEMNU" w:val=" 2"/>
    <w:docVar w:name="LastEditedSection" w:val=" 1"/>
    <w:docVar w:name="RULEMNU" w:val=" 1"/>
    <w:docVar w:name="SERIALNRMNU" w:val=" 2"/>
    <w:docVar w:name="strDocTypeID" w:val="RE_DelAct_Objections"/>
    <w:docVar w:name="strSubDir" w:val="1123"/>
    <w:docVar w:name="TXTLANGUE" w:val="EN"/>
    <w:docVar w:name="TXTLANGUEMIN" w:val="en"/>
    <w:docVar w:name="TXTNRB" w:val="0273/2017"/>
    <w:docVar w:name="TXTNRC" w:val="(2016)8996"/>
    <w:docVar w:name="TXTNRDEA" w:val="2017/2511"/>
    <w:docVar w:name="TXTNRDELREG" w:val="2017/2511(DEA)"/>
    <w:docVar w:name="TXTNRPE" w:val="603.715"/>
    <w:docVar w:name="TXTPEorAP" w:val="PE"/>
    <w:docVar w:name="TXTROUTE" w:val="RE\1123905EN.docx"/>
    <w:docVar w:name="TXTTITLE" w:val="establishing Annex III to Regulation (EU) No 978/2012 of the European Parliament and of the Council applying a scheme of generalised tariff preferences"/>
    <w:docVar w:name="TXTVERSION" w:val="01-00"/>
  </w:docVars>
  <w:rsids>
    <w:rsidRoot w:val="009165C3"/>
    <w:rsid w:val="00005AFD"/>
    <w:rsid w:val="000B783C"/>
    <w:rsid w:val="000C7B89"/>
    <w:rsid w:val="000F3F4F"/>
    <w:rsid w:val="00105F8B"/>
    <w:rsid w:val="0013138E"/>
    <w:rsid w:val="00152F37"/>
    <w:rsid w:val="00187BF3"/>
    <w:rsid w:val="001D6517"/>
    <w:rsid w:val="001E693A"/>
    <w:rsid w:val="002E7363"/>
    <w:rsid w:val="003218A0"/>
    <w:rsid w:val="003A003A"/>
    <w:rsid w:val="003A6612"/>
    <w:rsid w:val="003C19D7"/>
    <w:rsid w:val="00413E5E"/>
    <w:rsid w:val="00496E8B"/>
    <w:rsid w:val="0050720C"/>
    <w:rsid w:val="00560E87"/>
    <w:rsid w:val="005610C7"/>
    <w:rsid w:val="005668AB"/>
    <w:rsid w:val="00594254"/>
    <w:rsid w:val="005E0BC3"/>
    <w:rsid w:val="006008EF"/>
    <w:rsid w:val="00627E7C"/>
    <w:rsid w:val="006405A7"/>
    <w:rsid w:val="00640E94"/>
    <w:rsid w:val="00680742"/>
    <w:rsid w:val="006B1C91"/>
    <w:rsid w:val="00765B61"/>
    <w:rsid w:val="007974DD"/>
    <w:rsid w:val="007B50DB"/>
    <w:rsid w:val="00824B90"/>
    <w:rsid w:val="008B1B93"/>
    <w:rsid w:val="009165C3"/>
    <w:rsid w:val="0098344E"/>
    <w:rsid w:val="009D12F8"/>
    <w:rsid w:val="00A93F71"/>
    <w:rsid w:val="00B179FA"/>
    <w:rsid w:val="00B41512"/>
    <w:rsid w:val="00B73C00"/>
    <w:rsid w:val="00C03AB9"/>
    <w:rsid w:val="00C13274"/>
    <w:rsid w:val="00C17BD9"/>
    <w:rsid w:val="00C23A6D"/>
    <w:rsid w:val="00CA5674"/>
    <w:rsid w:val="00D462E2"/>
    <w:rsid w:val="00D462E8"/>
    <w:rsid w:val="00D60FF7"/>
    <w:rsid w:val="00D765D6"/>
    <w:rsid w:val="00E05011"/>
    <w:rsid w:val="00E11F98"/>
    <w:rsid w:val="00E323D6"/>
    <w:rsid w:val="00E856DE"/>
    <w:rsid w:val="00ED10D6"/>
    <w:rsid w:val="00F75D46"/>
    <w:rsid w:val="00F9151F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A525F"/>
  <w15:chartTrackingRefBased/>
  <w15:docId w15:val="{026BCDDB-A1C2-467F-91B7-C1FEC6B9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locked/>
    <w:rsid w:val="006405A7"/>
    <w:rPr>
      <w:b/>
      <w:sz w:val="24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Normal"/>
    <w:rsid w:val="00824B90"/>
    <w:pPr>
      <w:ind w:left="1418"/>
    </w:pPr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qFormat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JustificationTitle">
    <w:name w:val="JustificationTitle"/>
    <w:basedOn w:val="Normal12a12b"/>
    <w:next w:val="Normal12"/>
    <w:pPr>
      <w:keepNext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FB083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0C7B89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0C7B89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680742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CoverBold24">
    <w:name w:val="CoverBold24"/>
    <w:basedOn w:val="CoverBold"/>
    <w:rsid w:val="00A93F71"/>
    <w:pPr>
      <w:spacing w:after="480"/>
    </w:pPr>
  </w:style>
  <w:style w:type="paragraph" w:customStyle="1" w:styleId="EPName">
    <w:name w:val="EPName"/>
    <w:basedOn w:val="Normal"/>
    <w:rsid w:val="001D6517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1D6517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1D6517"/>
    <w:pPr>
      <w:jc w:val="right"/>
    </w:pPr>
  </w:style>
  <w:style w:type="paragraph" w:customStyle="1" w:styleId="RefProc">
    <w:name w:val="RefProc"/>
    <w:basedOn w:val="Normal"/>
    <w:rsid w:val="00680742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680742"/>
    <w:pPr>
      <w:spacing w:after="1200"/>
    </w:pPr>
  </w:style>
  <w:style w:type="paragraph" w:styleId="FootnoteText">
    <w:name w:val="footnote text"/>
    <w:basedOn w:val="Normal"/>
    <w:link w:val="FootnoteTextChar"/>
    <w:rsid w:val="00496E8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96E8B"/>
  </w:style>
  <w:style w:type="character" w:styleId="FootnoteReference">
    <w:name w:val="footnote reference"/>
    <w:basedOn w:val="DefaultParagraphFont"/>
    <w:rsid w:val="00496E8B"/>
    <w:rPr>
      <w:vertAlign w:val="superscript"/>
    </w:rPr>
  </w:style>
  <w:style w:type="character" w:styleId="CommentReference">
    <w:name w:val="annotation reference"/>
    <w:basedOn w:val="DefaultParagraphFont"/>
    <w:rsid w:val="003218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8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18A0"/>
  </w:style>
  <w:style w:type="paragraph" w:styleId="CommentSubject">
    <w:name w:val="annotation subject"/>
    <w:basedOn w:val="CommentText"/>
    <w:next w:val="CommentText"/>
    <w:link w:val="CommentSubjectChar"/>
    <w:rsid w:val="00321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18A0"/>
    <w:rPr>
      <w:b/>
      <w:bCs/>
    </w:rPr>
  </w:style>
  <w:style w:type="paragraph" w:styleId="BalloonText">
    <w:name w:val="Balloon Text"/>
    <w:basedOn w:val="Normal"/>
    <w:link w:val="BalloonTextChar"/>
    <w:rsid w:val="00321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1EB8-0D32-415E-AD24-C8B1D019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278BE397.dotm</Template>
  <TotalTime>0</TotalTime>
  <Pages>3</Pages>
  <Words>843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RE_DelAct_Objections</vt:lpstr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RE_DelAct_Objections</dc:title>
  <dc:subject/>
  <dc:creator>MONKUNIENE Neringa</dc:creator>
  <cp:keywords/>
  <dc:description/>
  <cp:lastModifiedBy>BYRNE Patrick</cp:lastModifiedBy>
  <cp:revision>2</cp:revision>
  <cp:lastPrinted>2004-11-19T14:29:00Z</cp:lastPrinted>
  <dcterms:created xsi:type="dcterms:W3CDTF">2017-04-21T10:42:00Z</dcterms:created>
  <dcterms:modified xsi:type="dcterms:W3CDTF">2017-04-21T10:42:00Z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9.0.0 Build [20170325]</vt:lpwstr>
  </property>
  <property fmtid="{D5CDD505-2E9C-101B-9397-08002B2CF9AE}" pid="4" name="LastEdited with">
    <vt:lpwstr>9.0.0 Build [20170325]</vt:lpwstr>
  </property>
  <property fmtid="{D5CDD505-2E9C-101B-9397-08002B2CF9AE}" pid="5" name="&lt;FdR&gt;">
    <vt:lpwstr>1123905</vt:lpwstr>
  </property>
  <property fmtid="{D5CDD505-2E9C-101B-9397-08002B2CF9AE}" pid="6" name="&lt;Type&gt;">
    <vt:lpwstr>RE</vt:lpwstr>
  </property>
  <property fmtid="{D5CDD505-2E9C-101B-9397-08002B2CF9AE}" pid="7" name="&lt;ModelCod&gt;">
    <vt:lpwstr>\\eiciLUXpr1\pdocep$\DocEP\DOCS\General\RE\RE_DelAct\RE_DelAct_Objections.dot(17/02/2016 11:46:06)</vt:lpwstr>
  </property>
  <property fmtid="{D5CDD505-2E9C-101B-9397-08002B2CF9AE}" pid="8" name="&lt;ModelTra&gt;">
    <vt:lpwstr>\\eiciLUXpr1\pdocep$\DocEP\TRANSFIL\EN\RE_DelAct_Objections.EN(22/09/2016 15:22:24)</vt:lpwstr>
  </property>
  <property fmtid="{D5CDD505-2E9C-101B-9397-08002B2CF9AE}" pid="9" name="&lt;Model&gt;">
    <vt:lpwstr>RE_DelAct_Objections</vt:lpwstr>
  </property>
  <property fmtid="{D5CDD505-2E9C-101B-9397-08002B2CF9AE}" pid="10" name="FooterPath">
    <vt:lpwstr>RE\1123905EN.docx</vt:lpwstr>
  </property>
  <property fmtid="{D5CDD505-2E9C-101B-9397-08002B2CF9AE}" pid="11" name="PE Number">
    <vt:lpwstr>603.715</vt:lpwstr>
  </property>
  <property fmtid="{D5CDD505-2E9C-101B-9397-08002B2CF9AE}" pid="12" name="Bookout">
    <vt:lpwstr>OK - 2017/04/21 12:42</vt:lpwstr>
  </property>
  <property fmtid="{D5CDD505-2E9C-101B-9397-08002B2CF9AE}" pid="13" name="SubscribeElise">
    <vt:lpwstr/>
  </property>
</Properties>
</file>